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jc w:val="center"/>
        <w:rPr>
          <w:rFonts w:ascii="华文中宋" w:hAnsi="华文中宋" w:eastAsia="华文中宋"/>
          <w:b/>
          <w:sz w:val="44"/>
          <w:szCs w:val="44"/>
        </w:rPr>
      </w:pPr>
      <w:r>
        <w:rPr>
          <w:rFonts w:hint="eastAsia" w:ascii="华文中宋" w:hAnsi="华文中宋" w:eastAsia="华文中宋"/>
          <w:b/>
          <w:sz w:val="44"/>
          <w:szCs w:val="44"/>
        </w:rPr>
        <w:t>化学与药学院研究生国家奖学金评审细则</w:t>
      </w:r>
    </w:p>
    <w:p>
      <w:pPr>
        <w:overflowPunct w:val="0"/>
        <w:spacing w:before="312" w:beforeLines="100" w:after="312" w:afterLines="100" w:line="440" w:lineRule="exact"/>
        <w:jc w:val="center"/>
        <w:rPr>
          <w:rFonts w:ascii="黑体" w:hAnsi="黑体" w:eastAsia="黑体"/>
          <w:b/>
          <w:sz w:val="32"/>
          <w:szCs w:val="32"/>
        </w:rPr>
      </w:pPr>
      <w:r>
        <w:rPr>
          <w:rFonts w:hint="eastAsia" w:ascii="黑体" w:hAnsi="黑体" w:eastAsia="黑体"/>
          <w:b/>
          <w:sz w:val="32"/>
          <w:szCs w:val="32"/>
        </w:rPr>
        <w:t>第一章</w:t>
      </w:r>
      <w:r>
        <w:rPr>
          <w:rFonts w:ascii="黑体" w:hAnsi="黑体" w:eastAsia="黑体"/>
          <w:b/>
          <w:sz w:val="32"/>
          <w:szCs w:val="32"/>
        </w:rPr>
        <w:t xml:space="preserve"> </w:t>
      </w:r>
      <w:r>
        <w:rPr>
          <w:rFonts w:hint="eastAsia" w:ascii="黑体" w:hAnsi="黑体" w:eastAsia="黑体"/>
          <w:b/>
          <w:sz w:val="32"/>
          <w:szCs w:val="32"/>
        </w:rPr>
        <w:t>总则</w:t>
      </w:r>
    </w:p>
    <w:p>
      <w:pPr>
        <w:overflowPunct w:val="0"/>
        <w:adjustRightInd w:val="0"/>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第一条</w:t>
      </w:r>
      <w:r>
        <w:rPr>
          <w:rFonts w:ascii="仿宋" w:hAnsi="仿宋" w:eastAsia="仿宋"/>
          <w:b/>
          <w:sz w:val="32"/>
          <w:szCs w:val="32"/>
        </w:rPr>
        <w:t xml:space="preserve"> </w:t>
      </w:r>
      <w:r>
        <w:rPr>
          <w:rFonts w:hint="eastAsia" w:ascii="仿宋" w:hAnsi="仿宋" w:eastAsia="仿宋"/>
          <w:sz w:val="32"/>
          <w:szCs w:val="32"/>
        </w:rPr>
        <w:t>为做好我院研究生国家奖学金的评选工作，根据《青岛农业大学研究生奖助学金管理办法》（青农大校字〔</w:t>
      </w:r>
      <w:r>
        <w:rPr>
          <w:rFonts w:ascii="仿宋" w:hAnsi="仿宋" w:eastAsia="仿宋"/>
          <w:sz w:val="32"/>
          <w:szCs w:val="32"/>
        </w:rPr>
        <w:t>2016</w:t>
      </w:r>
      <w:r>
        <w:rPr>
          <w:rFonts w:hint="eastAsia" w:ascii="仿宋" w:hAnsi="仿宋" w:eastAsia="仿宋"/>
          <w:sz w:val="32"/>
          <w:szCs w:val="32"/>
        </w:rPr>
        <w:t>〕</w:t>
      </w:r>
      <w:r>
        <w:rPr>
          <w:rFonts w:ascii="仿宋" w:hAnsi="仿宋" w:eastAsia="仿宋"/>
          <w:sz w:val="32"/>
          <w:szCs w:val="32"/>
        </w:rPr>
        <w:t>146</w:t>
      </w:r>
      <w:r>
        <w:rPr>
          <w:rFonts w:hint="eastAsia" w:ascii="仿宋" w:hAnsi="仿宋" w:eastAsia="仿宋"/>
          <w:sz w:val="32"/>
          <w:szCs w:val="32"/>
        </w:rPr>
        <w:t>号）、《青岛农业大学研究生国家奖学金管理暂行办法》（青农大校字</w:t>
      </w:r>
      <w:r>
        <w:rPr>
          <w:rFonts w:ascii="仿宋" w:hAnsi="仿宋" w:eastAsia="仿宋"/>
          <w:sz w:val="32"/>
          <w:szCs w:val="32"/>
        </w:rPr>
        <w:t>[2012]204</w:t>
      </w:r>
      <w:r>
        <w:rPr>
          <w:rFonts w:hint="eastAsia" w:ascii="仿宋" w:hAnsi="仿宋" w:eastAsia="仿宋"/>
          <w:sz w:val="32"/>
          <w:szCs w:val="32"/>
        </w:rPr>
        <w:t>号），结合我院实际情况，制定本细则。</w:t>
      </w:r>
    </w:p>
    <w:p>
      <w:pPr>
        <w:overflowPunct w:val="0"/>
        <w:adjustRightInd w:val="0"/>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第二条</w:t>
      </w:r>
      <w:r>
        <w:rPr>
          <w:rFonts w:ascii="仿宋" w:hAnsi="仿宋" w:eastAsia="仿宋"/>
          <w:sz w:val="32"/>
          <w:szCs w:val="32"/>
        </w:rPr>
        <w:t xml:space="preserve"> </w:t>
      </w:r>
      <w:r>
        <w:rPr>
          <w:rFonts w:hint="eastAsia" w:ascii="仿宋" w:hAnsi="仿宋" w:eastAsia="仿宋"/>
          <w:sz w:val="32"/>
          <w:szCs w:val="32"/>
        </w:rPr>
        <w:t>研究生国家奖学金用于奖励我院表现优异的全日制研究生。根据学校分配的名额进行评审推荐，奖励标准为每生</w:t>
      </w:r>
      <w:r>
        <w:rPr>
          <w:rFonts w:ascii="仿宋" w:hAnsi="仿宋" w:eastAsia="仿宋"/>
          <w:sz w:val="32"/>
          <w:szCs w:val="32"/>
        </w:rPr>
        <w:t>2</w:t>
      </w:r>
      <w:r>
        <w:rPr>
          <w:rFonts w:hint="eastAsia" w:ascii="仿宋" w:hAnsi="仿宋" w:eastAsia="仿宋"/>
          <w:sz w:val="32"/>
          <w:szCs w:val="32"/>
        </w:rPr>
        <w:t>万元。</w:t>
      </w:r>
    </w:p>
    <w:p>
      <w:pPr>
        <w:overflowPunct w:val="0"/>
        <w:spacing w:before="312" w:beforeLines="100" w:after="312" w:afterLines="100" w:line="440" w:lineRule="exact"/>
        <w:jc w:val="center"/>
        <w:rPr>
          <w:rFonts w:ascii="黑体" w:hAnsi="黑体" w:eastAsia="黑体"/>
          <w:b/>
          <w:sz w:val="32"/>
          <w:szCs w:val="32"/>
        </w:rPr>
      </w:pPr>
      <w:r>
        <w:rPr>
          <w:rFonts w:hint="eastAsia" w:ascii="黑体" w:hAnsi="黑体" w:eastAsia="黑体"/>
          <w:b/>
          <w:sz w:val="32"/>
          <w:szCs w:val="32"/>
        </w:rPr>
        <w:t>第二章 推荐原则及申请条件</w:t>
      </w:r>
    </w:p>
    <w:p>
      <w:pPr>
        <w:pStyle w:val="7"/>
        <w:widowControl w:val="0"/>
        <w:overflowPunct w:val="0"/>
        <w:adjustRightInd w:val="0"/>
        <w:snapToGrid w:val="0"/>
        <w:spacing w:before="0" w:beforeAutospacing="0" w:after="0" w:afterAutospacing="0" w:line="360" w:lineRule="auto"/>
        <w:ind w:firstLine="643" w:firstLineChars="200"/>
        <w:jc w:val="both"/>
        <w:rPr>
          <w:rFonts w:ascii="仿宋" w:hAnsi="仿宋" w:eastAsia="仿宋" w:cs="Times New Roman"/>
          <w:kern w:val="2"/>
          <w:sz w:val="32"/>
          <w:szCs w:val="32"/>
        </w:rPr>
      </w:pPr>
      <w:r>
        <w:rPr>
          <w:rFonts w:hint="eastAsia" w:ascii="仿宋" w:hAnsi="仿宋" w:eastAsia="仿宋"/>
          <w:b/>
          <w:sz w:val="32"/>
          <w:szCs w:val="32"/>
        </w:rPr>
        <w:t>第三条</w:t>
      </w:r>
      <w:r>
        <w:rPr>
          <w:rFonts w:hint="eastAsia" w:ascii="仿宋" w:hAnsi="仿宋" w:eastAsia="仿宋"/>
          <w:sz w:val="32"/>
          <w:szCs w:val="32"/>
        </w:rPr>
        <w:t xml:space="preserve"> </w:t>
      </w:r>
      <w:r>
        <w:rPr>
          <w:rFonts w:hint="eastAsia" w:ascii="仿宋" w:hAnsi="仿宋" w:eastAsia="仿宋" w:cs="Times New Roman"/>
          <w:kern w:val="2"/>
          <w:sz w:val="32"/>
          <w:szCs w:val="32"/>
        </w:rPr>
        <w:t>化学工程与技术和农药学两个学科符合申请条件的研究生，按照科研成绩由高到低的顺序分别进行排名，再由学院国家奖学金评审委员会根据学校分配的名额进行推荐上报。</w:t>
      </w:r>
    </w:p>
    <w:p>
      <w:pPr>
        <w:overflowPunct w:val="0"/>
        <w:adjustRightInd w:val="0"/>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第四条</w:t>
      </w:r>
      <w:r>
        <w:rPr>
          <w:rFonts w:ascii="仿宋" w:hAnsi="仿宋" w:eastAsia="仿宋"/>
          <w:sz w:val="32"/>
          <w:szCs w:val="32"/>
        </w:rPr>
        <w:t xml:space="preserve"> </w:t>
      </w:r>
      <w:r>
        <w:rPr>
          <w:rFonts w:hint="eastAsia" w:ascii="仿宋" w:hAnsi="仿宋" w:eastAsia="仿宋"/>
          <w:sz w:val="32"/>
          <w:szCs w:val="32"/>
        </w:rPr>
        <w:t>申请国家奖学金的研究生，除应具备《青岛农业大学研究生国家奖学金评审管理暂行办法》（试行）</w:t>
      </w:r>
      <w:r>
        <w:rPr>
          <w:rFonts w:ascii="仿宋" w:hAnsi="仿宋" w:eastAsia="仿宋"/>
          <w:sz w:val="32"/>
          <w:szCs w:val="32"/>
        </w:rPr>
        <w:t>(</w:t>
      </w:r>
      <w:r>
        <w:rPr>
          <w:rFonts w:hint="eastAsia" w:ascii="仿宋" w:hAnsi="仿宋" w:eastAsia="仿宋"/>
          <w:sz w:val="32"/>
          <w:szCs w:val="32"/>
        </w:rPr>
        <w:t>青农大校字〔</w:t>
      </w:r>
      <w:r>
        <w:rPr>
          <w:rFonts w:ascii="仿宋" w:hAnsi="仿宋" w:eastAsia="仿宋"/>
          <w:sz w:val="32"/>
          <w:szCs w:val="32"/>
        </w:rPr>
        <w:t>2012</w:t>
      </w:r>
      <w:r>
        <w:rPr>
          <w:rFonts w:hint="eastAsia" w:ascii="仿宋" w:hAnsi="仿宋" w:eastAsia="仿宋"/>
          <w:sz w:val="32"/>
          <w:szCs w:val="32"/>
        </w:rPr>
        <w:t>〕</w:t>
      </w:r>
      <w:r>
        <w:rPr>
          <w:rFonts w:ascii="仿宋" w:hAnsi="仿宋" w:eastAsia="仿宋"/>
          <w:sz w:val="32"/>
          <w:szCs w:val="32"/>
        </w:rPr>
        <w:t>204</w:t>
      </w:r>
      <w:r>
        <w:rPr>
          <w:rFonts w:hint="eastAsia" w:ascii="仿宋" w:hAnsi="仿宋" w:eastAsia="仿宋"/>
          <w:sz w:val="32"/>
          <w:szCs w:val="32"/>
        </w:rPr>
        <w:t>号）规定的基本申请条件外，还应具备以下条件：</w:t>
      </w:r>
      <w:r>
        <w:rPr>
          <w:rFonts w:ascii="仿宋" w:hAnsi="仿宋" w:eastAsia="仿宋"/>
          <w:sz w:val="32"/>
          <w:szCs w:val="32"/>
        </w:rPr>
        <w:tab/>
      </w:r>
    </w:p>
    <w:p>
      <w:pPr>
        <w:overflowPunct w:val="0"/>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、我校全日制在校二、三年级非定向硕士研究生，不包括保留学籍、休学和延期毕业的研究生；</w:t>
      </w:r>
    </w:p>
    <w:p>
      <w:pPr>
        <w:overflowPunct w:val="0"/>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、在校期间无违纪记录、学术不端行为或实验室安全责任事故；</w:t>
      </w:r>
    </w:p>
    <w:p>
      <w:pPr>
        <w:overflowPunct w:val="0"/>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3、综合素质测评等级为优秀（A等级），其中二年级研究生至少有1次为A等级且没有C等级，三年级研究生至少有2次为A等级且没有C等级；</w:t>
      </w:r>
    </w:p>
    <w:p>
      <w:pPr>
        <w:overflowPunct w:val="0"/>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、学位课程考试考核全部一次性通过；</w:t>
      </w:r>
      <w:r>
        <w:rPr>
          <w:rFonts w:ascii="仿宋" w:hAnsi="仿宋" w:eastAsia="仿宋"/>
          <w:sz w:val="32"/>
          <w:szCs w:val="32"/>
        </w:rPr>
        <w:t xml:space="preserve"> </w:t>
      </w:r>
    </w:p>
    <w:p>
      <w:pPr>
        <w:overflowPunct w:val="0"/>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、开题成绩优良（</w:t>
      </w:r>
      <w:r>
        <w:rPr>
          <w:rFonts w:ascii="仿宋" w:hAnsi="仿宋" w:eastAsia="仿宋"/>
          <w:sz w:val="32"/>
          <w:szCs w:val="32"/>
        </w:rPr>
        <w:t>85</w:t>
      </w:r>
      <w:r>
        <w:rPr>
          <w:rFonts w:hint="eastAsia" w:ascii="仿宋" w:hAnsi="仿宋" w:eastAsia="仿宋"/>
          <w:sz w:val="32"/>
          <w:szCs w:val="32"/>
        </w:rPr>
        <w:t>分），中期考核成绩为优秀（</w:t>
      </w:r>
      <w:r>
        <w:rPr>
          <w:rFonts w:ascii="仿宋" w:hAnsi="仿宋" w:eastAsia="仿宋"/>
          <w:sz w:val="32"/>
          <w:szCs w:val="32"/>
        </w:rPr>
        <w:t>90</w:t>
      </w:r>
      <w:r>
        <w:rPr>
          <w:rFonts w:hint="eastAsia" w:ascii="仿宋" w:hAnsi="仿宋" w:eastAsia="仿宋"/>
          <w:sz w:val="32"/>
          <w:szCs w:val="32"/>
        </w:rPr>
        <w:t>分）；</w:t>
      </w:r>
    </w:p>
    <w:p>
      <w:pPr>
        <w:overflowPunct w:val="0"/>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6、以第一位作者在一级学报及以上期刊学术论文发表至少1篇。</w:t>
      </w:r>
    </w:p>
    <w:p>
      <w:pPr>
        <w:overflowPunct w:val="0"/>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若存在国家奖学金申请材料弄虚作假行为的，一经发现取消参评资格。</w:t>
      </w:r>
    </w:p>
    <w:p>
      <w:pPr>
        <w:overflowPunct w:val="0"/>
        <w:spacing w:before="312" w:beforeLines="100" w:after="312" w:afterLines="100" w:line="440" w:lineRule="exact"/>
        <w:jc w:val="center"/>
        <w:rPr>
          <w:rFonts w:ascii="黑体" w:hAnsi="黑体" w:eastAsia="黑体"/>
          <w:b/>
          <w:sz w:val="32"/>
          <w:szCs w:val="32"/>
        </w:rPr>
      </w:pPr>
      <w:r>
        <w:rPr>
          <w:rFonts w:hint="eastAsia" w:ascii="黑体" w:hAnsi="黑体" w:eastAsia="黑体"/>
          <w:b/>
          <w:sz w:val="32"/>
          <w:szCs w:val="32"/>
        </w:rPr>
        <w:t xml:space="preserve">第三章 </w:t>
      </w:r>
      <w:bookmarkStart w:id="0" w:name="_Hlk532495652"/>
      <w:r>
        <w:rPr>
          <w:rFonts w:hint="eastAsia" w:ascii="黑体" w:hAnsi="黑体" w:eastAsia="黑体"/>
          <w:b/>
          <w:sz w:val="32"/>
          <w:szCs w:val="32"/>
        </w:rPr>
        <w:t>科研工作成绩量化标准</w:t>
      </w:r>
      <w:bookmarkEnd w:id="0"/>
    </w:p>
    <w:p>
      <w:pPr>
        <w:overflowPunct w:val="0"/>
        <w:adjustRightInd w:val="0"/>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第五条</w:t>
      </w:r>
      <w:r>
        <w:rPr>
          <w:rFonts w:hint="eastAsia" w:ascii="仿宋" w:hAnsi="仿宋" w:eastAsia="仿宋"/>
          <w:sz w:val="32"/>
          <w:szCs w:val="32"/>
        </w:rPr>
        <w:t xml:space="preserve"> 科研工作成绩主要包括：攻读我校研究生期间，已发表的学术论文（有页码）、已授权的专利、已获得的各类科技竞赛（比赛）奖项和主持的研究生创新创业训练项目。</w:t>
      </w:r>
    </w:p>
    <w:p>
      <w:pPr>
        <w:overflowPunct w:val="0"/>
        <w:adjustRightInd w:val="0"/>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第六条</w:t>
      </w:r>
      <w:r>
        <w:rPr>
          <w:rFonts w:hint="eastAsia" w:ascii="仿宋" w:hAnsi="仿宋" w:eastAsia="仿宋"/>
          <w:sz w:val="32"/>
          <w:szCs w:val="32"/>
        </w:rPr>
        <w:t xml:space="preserve"> 科研工作成绩量化遵循以下原则：</w:t>
      </w:r>
    </w:p>
    <w:p>
      <w:pPr>
        <w:overflowPunct w:val="0"/>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、化学和材料类期刊影响因子</w:t>
      </w:r>
      <w:r>
        <w:rPr>
          <w:rFonts w:ascii="仿宋" w:hAnsi="仿宋" w:eastAsia="仿宋"/>
          <w:sz w:val="32"/>
          <w:szCs w:val="32"/>
        </w:rPr>
        <w:t>12</w:t>
      </w:r>
      <w:r>
        <w:rPr>
          <w:rFonts w:hint="eastAsia" w:ascii="仿宋" w:hAnsi="仿宋" w:eastAsia="仿宋"/>
          <w:sz w:val="32"/>
          <w:szCs w:val="32"/>
        </w:rPr>
        <w:t>.0以上、农药学期刊影响因子</w:t>
      </w:r>
      <w:r>
        <w:rPr>
          <w:rFonts w:ascii="仿宋" w:hAnsi="仿宋" w:eastAsia="仿宋"/>
          <w:sz w:val="32"/>
          <w:szCs w:val="32"/>
        </w:rPr>
        <w:t>3.5</w:t>
      </w:r>
      <w:r>
        <w:rPr>
          <w:rFonts w:hint="eastAsia" w:ascii="仿宋" w:hAnsi="仿宋" w:eastAsia="仿宋"/>
          <w:sz w:val="32"/>
          <w:szCs w:val="32"/>
        </w:rPr>
        <w:t>以上或化工类期刊影响因子7</w:t>
      </w:r>
      <w:r>
        <w:rPr>
          <w:rFonts w:ascii="仿宋" w:hAnsi="仿宋" w:eastAsia="仿宋"/>
          <w:sz w:val="32"/>
          <w:szCs w:val="32"/>
        </w:rPr>
        <w:t>.0</w:t>
      </w:r>
      <w:r>
        <w:rPr>
          <w:rFonts w:hint="eastAsia" w:ascii="仿宋" w:hAnsi="仿宋" w:eastAsia="仿宋"/>
          <w:sz w:val="32"/>
          <w:szCs w:val="32"/>
        </w:rPr>
        <w:t>以上的</w:t>
      </w:r>
      <w:r>
        <w:rPr>
          <w:rFonts w:ascii="仿宋" w:hAnsi="仿宋" w:eastAsia="仿宋"/>
          <w:sz w:val="32"/>
          <w:szCs w:val="32"/>
        </w:rPr>
        <w:t>A3</w:t>
      </w:r>
      <w:r>
        <w:rPr>
          <w:rFonts w:hint="eastAsia" w:ascii="仿宋" w:hAnsi="仿宋" w:eastAsia="仿宋"/>
          <w:sz w:val="32"/>
          <w:szCs w:val="32"/>
        </w:rPr>
        <w:t>类学术论文，量化分数按照</w:t>
      </w:r>
      <w:r>
        <w:rPr>
          <w:rFonts w:hint="eastAsia" w:ascii="仿宋" w:hAnsi="仿宋" w:eastAsia="仿宋"/>
          <w:sz w:val="32"/>
          <w:szCs w:val="32"/>
          <w:lang w:val="en-US" w:eastAsia="zh-CN"/>
        </w:rPr>
        <w:t>A2</w:t>
      </w:r>
      <w:r>
        <w:rPr>
          <w:rFonts w:hint="eastAsia" w:ascii="仿宋" w:hAnsi="仿宋" w:eastAsia="仿宋"/>
          <w:sz w:val="32"/>
          <w:szCs w:val="32"/>
        </w:rPr>
        <w:t>计算，期刊影响因子为最新公布的影响因子。学术论文类别由学术委员会裁定。</w:t>
      </w:r>
    </w:p>
    <w:p>
      <w:pPr>
        <w:overflowPunct w:val="0"/>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、多人合作完成的科研项目，论文或成果量化得分按下列方法分配：</w:t>
      </w:r>
      <w:r>
        <w:rPr>
          <w:rFonts w:ascii="仿宋" w:hAnsi="仿宋" w:eastAsia="仿宋"/>
          <w:sz w:val="32"/>
          <w:szCs w:val="32"/>
        </w:rPr>
        <w:t>N</w:t>
      </w:r>
      <w:r>
        <w:rPr>
          <w:rFonts w:hint="eastAsia" w:ascii="仿宋" w:hAnsi="仿宋" w:eastAsia="仿宋"/>
          <w:sz w:val="32"/>
          <w:szCs w:val="32"/>
        </w:rPr>
        <w:t>为成果总合作人数，</w:t>
      </w:r>
      <w:r>
        <w:rPr>
          <w:rFonts w:ascii="仿宋" w:hAnsi="仿宋" w:eastAsia="仿宋"/>
          <w:sz w:val="32"/>
          <w:szCs w:val="32"/>
        </w:rPr>
        <w:t>M</w:t>
      </w:r>
      <w:r>
        <w:rPr>
          <w:rFonts w:hint="eastAsia" w:ascii="仿宋" w:hAnsi="仿宋" w:eastAsia="仿宋"/>
          <w:sz w:val="32"/>
          <w:szCs w:val="32"/>
        </w:rPr>
        <w:t>为本人承担位次，则第一位所得分数按总分的</w:t>
      </w:r>
      <w:r>
        <w:rPr>
          <w:rFonts w:ascii="仿宋" w:hAnsi="仿宋" w:eastAsia="仿宋"/>
          <w:sz w:val="32"/>
          <w:szCs w:val="32"/>
        </w:rPr>
        <w:t>1/2+3/4*(N-M+1)/</w:t>
      </w:r>
      <w:r>
        <w:rPr>
          <w:rFonts w:ascii="仿宋" w:hAnsi="仿宋" w:eastAsia="仿宋"/>
          <w:sz w:val="32"/>
          <w:szCs w:val="32"/>
        </w:rPr>
        <w:fldChar w:fldCharType="begin"/>
      </w:r>
      <w:r>
        <w:rPr>
          <w:rFonts w:ascii="仿宋" w:hAnsi="仿宋" w:eastAsia="仿宋"/>
          <w:sz w:val="32"/>
          <w:szCs w:val="32"/>
        </w:rPr>
        <w:instrText xml:space="preserve"> QUOTE </w:instrText>
      </w:r>
      <w:r>
        <w:rPr>
          <w:rFonts w:ascii="仿宋" w:hAnsi="仿宋" w:eastAsia="仿宋"/>
          <w:sz w:val="32"/>
          <w:szCs w:val="32"/>
        </w:rPr>
        <w:drawing>
          <wp:inline distT="0" distB="0" distL="114300" distR="114300">
            <wp:extent cx="361950" cy="552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361950" cy="552450"/>
                    </a:xfrm>
                    <a:prstGeom prst="rect">
                      <a:avLst/>
                    </a:prstGeom>
                    <a:noFill/>
                    <a:ln w="9525">
                      <a:noFill/>
                    </a:ln>
                  </pic:spPr>
                </pic:pic>
              </a:graphicData>
            </a:graphic>
          </wp:inline>
        </w:drawing>
      </w:r>
      <w:r>
        <w:rPr>
          <w:rFonts w:ascii="仿宋" w:hAnsi="仿宋" w:eastAsia="仿宋"/>
          <w:sz w:val="32"/>
          <w:szCs w:val="32"/>
        </w:rPr>
        <w:instrText xml:space="preserve"> </w:instrText>
      </w:r>
      <w:r>
        <w:rPr>
          <w:rFonts w:ascii="仿宋" w:hAnsi="仿宋" w:eastAsia="仿宋"/>
          <w:sz w:val="32"/>
          <w:szCs w:val="32"/>
        </w:rPr>
        <w:fldChar w:fldCharType="separate"/>
      </w:r>
      <w:r>
        <w:rPr>
          <w:rFonts w:ascii="仿宋" w:hAnsi="仿宋" w:eastAsia="仿宋"/>
          <w:sz w:val="32"/>
          <w:szCs w:val="32"/>
        </w:rPr>
        <w:drawing>
          <wp:inline distT="0" distB="0" distL="114300" distR="114300">
            <wp:extent cx="171450" cy="2616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181253" cy="276649"/>
                    </a:xfrm>
                    <a:prstGeom prst="rect">
                      <a:avLst/>
                    </a:prstGeom>
                    <a:noFill/>
                    <a:ln w="9525">
                      <a:noFill/>
                    </a:ln>
                  </pic:spPr>
                </pic:pic>
              </a:graphicData>
            </a:graphic>
          </wp:inline>
        </w:drawing>
      </w:r>
      <w:r>
        <w:rPr>
          <w:rFonts w:ascii="仿宋" w:hAnsi="仿宋" w:eastAsia="仿宋"/>
          <w:sz w:val="32"/>
          <w:szCs w:val="32"/>
        </w:rPr>
        <w:fldChar w:fldCharType="end"/>
      </w:r>
      <w:r>
        <w:rPr>
          <w:rFonts w:hint="eastAsia" w:ascii="仿宋" w:hAnsi="仿宋" w:eastAsia="仿宋"/>
          <w:sz w:val="32"/>
          <w:szCs w:val="32"/>
        </w:rPr>
        <w:t>计算，从第二位开始按总分的</w:t>
      </w:r>
      <w:r>
        <w:rPr>
          <w:rFonts w:ascii="仿宋" w:hAnsi="仿宋" w:eastAsia="仿宋"/>
          <w:sz w:val="32"/>
          <w:szCs w:val="32"/>
        </w:rPr>
        <w:t>3/4*(N-M+1)/</w:t>
      </w:r>
      <w:r>
        <w:rPr>
          <w:rFonts w:ascii="仿宋" w:hAnsi="仿宋" w:eastAsia="仿宋"/>
          <w:sz w:val="32"/>
          <w:szCs w:val="32"/>
        </w:rPr>
        <w:fldChar w:fldCharType="begin"/>
      </w:r>
      <w:r>
        <w:rPr>
          <w:rFonts w:ascii="仿宋" w:hAnsi="仿宋" w:eastAsia="仿宋"/>
          <w:sz w:val="32"/>
          <w:szCs w:val="32"/>
        </w:rPr>
        <w:instrText xml:space="preserve"> QUOTE </w:instrText>
      </w:r>
      <w:r>
        <w:rPr>
          <w:rFonts w:ascii="仿宋" w:hAnsi="仿宋" w:eastAsia="仿宋"/>
          <w:sz w:val="32"/>
          <w:szCs w:val="32"/>
        </w:rPr>
        <w:drawing>
          <wp:inline distT="0" distB="0" distL="114300" distR="114300">
            <wp:extent cx="361950" cy="5524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361950" cy="552450"/>
                    </a:xfrm>
                    <a:prstGeom prst="rect">
                      <a:avLst/>
                    </a:prstGeom>
                    <a:noFill/>
                    <a:ln w="9525">
                      <a:noFill/>
                    </a:ln>
                  </pic:spPr>
                </pic:pic>
              </a:graphicData>
            </a:graphic>
          </wp:inline>
        </w:drawing>
      </w:r>
      <w:r>
        <w:rPr>
          <w:rFonts w:ascii="仿宋" w:hAnsi="仿宋" w:eastAsia="仿宋"/>
          <w:sz w:val="32"/>
          <w:szCs w:val="32"/>
        </w:rPr>
        <w:instrText xml:space="preserve"> </w:instrText>
      </w:r>
      <w:r>
        <w:rPr>
          <w:rFonts w:ascii="仿宋" w:hAnsi="仿宋" w:eastAsia="仿宋"/>
          <w:sz w:val="32"/>
          <w:szCs w:val="32"/>
        </w:rPr>
        <w:fldChar w:fldCharType="separate"/>
      </w:r>
      <w:r>
        <w:rPr>
          <w:rFonts w:ascii="仿宋" w:hAnsi="仿宋" w:eastAsia="仿宋"/>
          <w:sz w:val="32"/>
          <w:szCs w:val="32"/>
        </w:rPr>
        <w:drawing>
          <wp:inline distT="0" distB="0" distL="114300" distR="114300">
            <wp:extent cx="146050" cy="222885"/>
            <wp:effectExtent l="0" t="0" r="635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150655" cy="229947"/>
                    </a:xfrm>
                    <a:prstGeom prst="rect">
                      <a:avLst/>
                    </a:prstGeom>
                    <a:noFill/>
                    <a:ln w="9525">
                      <a:noFill/>
                    </a:ln>
                  </pic:spPr>
                </pic:pic>
              </a:graphicData>
            </a:graphic>
          </wp:inline>
        </w:drawing>
      </w:r>
      <w:r>
        <w:rPr>
          <w:rFonts w:ascii="仿宋" w:hAnsi="仿宋" w:eastAsia="仿宋"/>
          <w:sz w:val="32"/>
          <w:szCs w:val="32"/>
        </w:rPr>
        <w:fldChar w:fldCharType="end"/>
      </w:r>
      <w:r>
        <w:rPr>
          <w:rFonts w:hint="eastAsia" w:ascii="仿宋" w:hAnsi="仿宋" w:eastAsia="仿宋"/>
          <w:sz w:val="32"/>
          <w:szCs w:val="32"/>
        </w:rPr>
        <w:t>计算；并列第一作者得分按照</w:t>
      </w:r>
      <w:r>
        <w:rPr>
          <w:rFonts w:ascii="仿宋" w:hAnsi="仿宋" w:eastAsia="仿宋"/>
          <w:sz w:val="32"/>
          <w:szCs w:val="32"/>
        </w:rPr>
        <w:t>1/2*(</w:t>
      </w:r>
      <w:r>
        <w:rPr>
          <w:rFonts w:hint="eastAsia" w:ascii="仿宋" w:hAnsi="仿宋" w:eastAsia="仿宋"/>
          <w:sz w:val="32"/>
          <w:szCs w:val="32"/>
        </w:rPr>
        <w:t>一位</w:t>
      </w:r>
      <w:r>
        <w:rPr>
          <w:rFonts w:ascii="仿宋" w:hAnsi="仿宋" w:eastAsia="仿宋"/>
          <w:sz w:val="32"/>
          <w:szCs w:val="32"/>
        </w:rPr>
        <w:t>+</w:t>
      </w:r>
      <w:r>
        <w:rPr>
          <w:rFonts w:hint="eastAsia" w:ascii="仿宋" w:hAnsi="仿宋" w:eastAsia="仿宋"/>
          <w:sz w:val="32"/>
          <w:szCs w:val="32"/>
        </w:rPr>
        <w:t>二位</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1/3*(</w:t>
      </w:r>
      <w:r>
        <w:rPr>
          <w:rFonts w:hint="eastAsia" w:ascii="仿宋" w:hAnsi="仿宋" w:eastAsia="仿宋"/>
          <w:sz w:val="32"/>
          <w:szCs w:val="32"/>
        </w:rPr>
        <w:t>一位</w:t>
      </w:r>
      <w:r>
        <w:rPr>
          <w:rFonts w:ascii="仿宋" w:hAnsi="仿宋" w:eastAsia="仿宋"/>
          <w:sz w:val="32"/>
          <w:szCs w:val="32"/>
        </w:rPr>
        <w:t>+</w:t>
      </w:r>
      <w:r>
        <w:rPr>
          <w:rFonts w:hint="eastAsia" w:ascii="仿宋" w:hAnsi="仿宋" w:eastAsia="仿宋"/>
          <w:sz w:val="32"/>
          <w:szCs w:val="32"/>
        </w:rPr>
        <w:t>二位</w:t>
      </w:r>
      <w:r>
        <w:rPr>
          <w:rFonts w:ascii="仿宋" w:hAnsi="仿宋" w:eastAsia="仿宋"/>
          <w:sz w:val="32"/>
          <w:szCs w:val="32"/>
        </w:rPr>
        <w:t>+</w:t>
      </w:r>
      <w:r>
        <w:rPr>
          <w:rFonts w:hint="eastAsia" w:ascii="仿宋" w:hAnsi="仿宋" w:eastAsia="仿宋"/>
          <w:sz w:val="32"/>
          <w:szCs w:val="32"/>
        </w:rPr>
        <w:t>三位</w:t>
      </w:r>
      <w:r>
        <w:rPr>
          <w:rFonts w:ascii="仿宋" w:hAnsi="仿宋" w:eastAsia="仿宋"/>
          <w:sz w:val="32"/>
          <w:szCs w:val="32"/>
        </w:rPr>
        <w:t>)</w:t>
      </w:r>
      <w:r>
        <w:rPr>
          <w:rFonts w:hint="eastAsia" w:ascii="仿宋" w:hAnsi="仿宋" w:eastAsia="仿宋"/>
          <w:sz w:val="32"/>
          <w:szCs w:val="32"/>
        </w:rPr>
        <w:t>计算；发表在各类增刊、专刊上的论文按</w:t>
      </w:r>
      <w:r>
        <w:rPr>
          <w:rFonts w:ascii="仿宋" w:hAnsi="仿宋" w:eastAsia="仿宋"/>
          <w:sz w:val="32"/>
          <w:szCs w:val="32"/>
        </w:rPr>
        <w:t>1/2</w:t>
      </w:r>
      <w:r>
        <w:rPr>
          <w:rFonts w:hint="eastAsia" w:ascii="仿宋" w:hAnsi="仿宋" w:eastAsia="仿宋"/>
          <w:sz w:val="32"/>
          <w:szCs w:val="32"/>
        </w:rPr>
        <w:t>计算；独立完成的按成果量化积分计分。</w:t>
      </w:r>
    </w:p>
    <w:p>
      <w:pPr>
        <w:overflowPunct w:val="0"/>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3、导师第一位、学生第二位取得的专利成果按学生第一位进行计算。</w:t>
      </w:r>
    </w:p>
    <w:p>
      <w:pPr>
        <w:overflowPunct w:val="0"/>
        <w:adjustRightInd w:val="0"/>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第七条</w:t>
      </w:r>
      <w:r>
        <w:rPr>
          <w:rFonts w:hint="eastAsia" w:ascii="仿宋" w:hAnsi="仿宋" w:eastAsia="仿宋"/>
          <w:sz w:val="32"/>
          <w:szCs w:val="32"/>
        </w:rPr>
        <w:t xml:space="preserve"> 科研工作成绩量化标准：</w:t>
      </w:r>
    </w:p>
    <w:tbl>
      <w:tblPr>
        <w:tblStyle w:val="8"/>
        <w:tblW w:w="83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3707"/>
        <w:gridCol w:w="992"/>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2" w:type="dxa"/>
            <w:gridSpan w:val="2"/>
            <w:vAlign w:val="center"/>
          </w:tcPr>
          <w:p>
            <w:pPr>
              <w:overflowPunct w:val="0"/>
              <w:spacing w:line="440" w:lineRule="exact"/>
              <w:jc w:val="center"/>
              <w:rPr>
                <w:rFonts w:eastAsia="仿宋"/>
                <w:b/>
                <w:sz w:val="24"/>
              </w:rPr>
            </w:pPr>
            <w:r>
              <w:rPr>
                <w:rFonts w:eastAsia="仿宋"/>
                <w:b/>
                <w:sz w:val="24"/>
              </w:rPr>
              <w:t>类别</w:t>
            </w:r>
          </w:p>
        </w:tc>
        <w:tc>
          <w:tcPr>
            <w:tcW w:w="2977" w:type="dxa"/>
            <w:gridSpan w:val="3"/>
            <w:vAlign w:val="center"/>
          </w:tcPr>
          <w:p>
            <w:pPr>
              <w:overflowPunct w:val="0"/>
              <w:spacing w:line="440" w:lineRule="exact"/>
              <w:jc w:val="center"/>
              <w:rPr>
                <w:rFonts w:eastAsia="仿宋"/>
                <w:b/>
                <w:sz w:val="24"/>
              </w:rPr>
            </w:pPr>
            <w:r>
              <w:rPr>
                <w:rFonts w:eastAsia="仿宋"/>
                <w:b/>
                <w:sz w:val="24"/>
              </w:rPr>
              <w:t>总积分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5" w:type="dxa"/>
            <w:vMerge w:val="restart"/>
            <w:vAlign w:val="center"/>
          </w:tcPr>
          <w:p>
            <w:pPr>
              <w:overflowPunct w:val="0"/>
              <w:spacing w:line="440" w:lineRule="exact"/>
              <w:jc w:val="center"/>
              <w:rPr>
                <w:rFonts w:eastAsia="仿宋"/>
                <w:b/>
                <w:sz w:val="24"/>
              </w:rPr>
            </w:pPr>
            <w:r>
              <w:rPr>
                <w:rFonts w:eastAsia="仿宋"/>
                <w:b/>
                <w:sz w:val="24"/>
              </w:rPr>
              <w:t>学术论文</w:t>
            </w:r>
          </w:p>
        </w:tc>
        <w:tc>
          <w:tcPr>
            <w:tcW w:w="3707" w:type="dxa"/>
            <w:vAlign w:val="center"/>
          </w:tcPr>
          <w:p>
            <w:pPr>
              <w:overflowPunct w:val="0"/>
              <w:spacing w:line="440" w:lineRule="exact"/>
              <w:jc w:val="center"/>
              <w:rPr>
                <w:rFonts w:eastAsia="仿宋"/>
                <w:b/>
                <w:sz w:val="24"/>
              </w:rPr>
            </w:pPr>
            <w:r>
              <w:rPr>
                <w:rFonts w:eastAsia="仿宋"/>
                <w:b/>
                <w:sz w:val="24"/>
              </w:rPr>
              <w:t>A1类论文</w:t>
            </w:r>
          </w:p>
        </w:tc>
        <w:tc>
          <w:tcPr>
            <w:tcW w:w="2977" w:type="dxa"/>
            <w:gridSpan w:val="3"/>
            <w:vAlign w:val="center"/>
          </w:tcPr>
          <w:p>
            <w:pPr>
              <w:overflowPunct w:val="0"/>
              <w:spacing w:line="440" w:lineRule="exact"/>
              <w:jc w:val="center"/>
              <w:rPr>
                <w:rFonts w:eastAsia="仿宋"/>
                <w:b/>
                <w:sz w:val="24"/>
              </w:rPr>
            </w:pPr>
            <w:r>
              <w:rPr>
                <w:rFonts w:eastAsia="仿宋"/>
                <w:b/>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5" w:type="dxa"/>
            <w:vMerge w:val="continue"/>
            <w:vAlign w:val="center"/>
          </w:tcPr>
          <w:p>
            <w:pPr>
              <w:overflowPunct w:val="0"/>
              <w:spacing w:line="440" w:lineRule="exact"/>
              <w:jc w:val="center"/>
              <w:rPr>
                <w:rFonts w:eastAsia="仿宋"/>
                <w:b/>
                <w:sz w:val="24"/>
              </w:rPr>
            </w:pPr>
          </w:p>
        </w:tc>
        <w:tc>
          <w:tcPr>
            <w:tcW w:w="3707" w:type="dxa"/>
            <w:vAlign w:val="center"/>
          </w:tcPr>
          <w:p>
            <w:pPr>
              <w:overflowPunct w:val="0"/>
              <w:spacing w:line="440" w:lineRule="exact"/>
              <w:jc w:val="center"/>
              <w:rPr>
                <w:rFonts w:eastAsia="仿宋"/>
                <w:b/>
                <w:sz w:val="24"/>
              </w:rPr>
            </w:pPr>
            <w:r>
              <w:rPr>
                <w:rFonts w:eastAsia="仿宋"/>
                <w:b/>
                <w:sz w:val="24"/>
              </w:rPr>
              <w:t>A2类论文</w:t>
            </w:r>
          </w:p>
        </w:tc>
        <w:tc>
          <w:tcPr>
            <w:tcW w:w="2977" w:type="dxa"/>
            <w:gridSpan w:val="3"/>
            <w:vAlign w:val="center"/>
          </w:tcPr>
          <w:p>
            <w:pPr>
              <w:overflowPunct w:val="0"/>
              <w:spacing w:line="440" w:lineRule="exact"/>
              <w:jc w:val="center"/>
              <w:rPr>
                <w:rFonts w:eastAsia="仿宋"/>
                <w:b/>
                <w:sz w:val="24"/>
              </w:rPr>
            </w:pPr>
            <w:r>
              <w:rPr>
                <w:rFonts w:eastAsia="仿宋"/>
                <w:b/>
                <w:sz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5" w:type="dxa"/>
            <w:vMerge w:val="continue"/>
            <w:vAlign w:val="center"/>
          </w:tcPr>
          <w:p>
            <w:pPr>
              <w:overflowPunct w:val="0"/>
              <w:spacing w:line="440" w:lineRule="exact"/>
              <w:jc w:val="center"/>
              <w:rPr>
                <w:rFonts w:eastAsia="仿宋"/>
                <w:b/>
                <w:sz w:val="24"/>
              </w:rPr>
            </w:pPr>
          </w:p>
        </w:tc>
        <w:tc>
          <w:tcPr>
            <w:tcW w:w="3707" w:type="dxa"/>
            <w:vAlign w:val="center"/>
          </w:tcPr>
          <w:p>
            <w:pPr>
              <w:overflowPunct w:val="0"/>
              <w:spacing w:line="440" w:lineRule="exact"/>
              <w:jc w:val="center"/>
              <w:rPr>
                <w:rFonts w:eastAsia="仿宋"/>
                <w:b/>
                <w:sz w:val="24"/>
              </w:rPr>
            </w:pPr>
            <w:r>
              <w:rPr>
                <w:rFonts w:eastAsia="仿宋"/>
                <w:b/>
                <w:sz w:val="24"/>
              </w:rPr>
              <w:t>A3类论文</w:t>
            </w:r>
          </w:p>
        </w:tc>
        <w:tc>
          <w:tcPr>
            <w:tcW w:w="2977" w:type="dxa"/>
            <w:gridSpan w:val="3"/>
            <w:vAlign w:val="center"/>
          </w:tcPr>
          <w:p>
            <w:pPr>
              <w:overflowPunct w:val="0"/>
              <w:spacing w:line="440" w:lineRule="exact"/>
              <w:jc w:val="center"/>
              <w:rPr>
                <w:rFonts w:eastAsia="仿宋"/>
                <w:b/>
                <w:sz w:val="24"/>
              </w:rPr>
            </w:pPr>
            <w:r>
              <w:rPr>
                <w:rFonts w:eastAsia="仿宋"/>
                <w:b/>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5" w:type="dxa"/>
            <w:vMerge w:val="continue"/>
            <w:vAlign w:val="center"/>
          </w:tcPr>
          <w:p>
            <w:pPr>
              <w:overflowPunct w:val="0"/>
              <w:spacing w:line="440" w:lineRule="exact"/>
              <w:jc w:val="center"/>
              <w:rPr>
                <w:rFonts w:eastAsia="仿宋"/>
                <w:b/>
                <w:sz w:val="24"/>
              </w:rPr>
            </w:pPr>
          </w:p>
        </w:tc>
        <w:tc>
          <w:tcPr>
            <w:tcW w:w="3707" w:type="dxa"/>
            <w:vAlign w:val="center"/>
          </w:tcPr>
          <w:p>
            <w:pPr>
              <w:overflowPunct w:val="0"/>
              <w:spacing w:line="440" w:lineRule="exact"/>
              <w:jc w:val="center"/>
              <w:rPr>
                <w:rFonts w:eastAsia="仿宋"/>
                <w:b/>
                <w:sz w:val="24"/>
              </w:rPr>
            </w:pPr>
            <w:r>
              <w:rPr>
                <w:rFonts w:eastAsia="仿宋"/>
                <w:b/>
                <w:sz w:val="24"/>
              </w:rPr>
              <w:t>A4类论文</w:t>
            </w:r>
          </w:p>
        </w:tc>
        <w:tc>
          <w:tcPr>
            <w:tcW w:w="2977" w:type="dxa"/>
            <w:gridSpan w:val="3"/>
            <w:vAlign w:val="center"/>
          </w:tcPr>
          <w:p>
            <w:pPr>
              <w:overflowPunct w:val="0"/>
              <w:spacing w:line="440" w:lineRule="exact"/>
              <w:jc w:val="center"/>
              <w:rPr>
                <w:rFonts w:eastAsia="仿宋"/>
                <w:b/>
                <w:sz w:val="24"/>
              </w:rPr>
            </w:pPr>
            <w:r>
              <w:rPr>
                <w:rFonts w:eastAsia="仿宋"/>
                <w:b/>
                <w:sz w:val="24"/>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5" w:type="dxa"/>
            <w:vMerge w:val="continue"/>
            <w:vAlign w:val="center"/>
          </w:tcPr>
          <w:p>
            <w:pPr>
              <w:overflowPunct w:val="0"/>
              <w:spacing w:line="440" w:lineRule="exact"/>
              <w:jc w:val="center"/>
              <w:rPr>
                <w:rFonts w:eastAsia="仿宋"/>
                <w:b/>
                <w:sz w:val="24"/>
              </w:rPr>
            </w:pPr>
          </w:p>
        </w:tc>
        <w:tc>
          <w:tcPr>
            <w:tcW w:w="3707" w:type="dxa"/>
            <w:vAlign w:val="center"/>
          </w:tcPr>
          <w:p>
            <w:pPr>
              <w:overflowPunct w:val="0"/>
              <w:spacing w:line="440" w:lineRule="exact"/>
              <w:jc w:val="center"/>
              <w:rPr>
                <w:rFonts w:eastAsia="仿宋"/>
                <w:b/>
                <w:sz w:val="24"/>
              </w:rPr>
            </w:pPr>
            <w:r>
              <w:rPr>
                <w:rFonts w:eastAsia="仿宋"/>
                <w:b/>
                <w:sz w:val="24"/>
              </w:rPr>
              <w:t>A5类论文</w:t>
            </w:r>
          </w:p>
        </w:tc>
        <w:tc>
          <w:tcPr>
            <w:tcW w:w="2977" w:type="dxa"/>
            <w:gridSpan w:val="3"/>
            <w:vAlign w:val="center"/>
          </w:tcPr>
          <w:p>
            <w:pPr>
              <w:overflowPunct w:val="0"/>
              <w:spacing w:line="440" w:lineRule="exact"/>
              <w:jc w:val="center"/>
              <w:rPr>
                <w:rFonts w:eastAsia="仿宋"/>
                <w:b/>
                <w:sz w:val="24"/>
              </w:rPr>
            </w:pPr>
            <w:r>
              <w:rPr>
                <w:rFonts w:eastAsia="仿宋"/>
                <w:b/>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5" w:type="dxa"/>
            <w:vMerge w:val="continue"/>
            <w:vAlign w:val="center"/>
          </w:tcPr>
          <w:p>
            <w:pPr>
              <w:overflowPunct w:val="0"/>
              <w:spacing w:line="440" w:lineRule="exact"/>
              <w:jc w:val="center"/>
              <w:rPr>
                <w:rFonts w:eastAsia="仿宋"/>
                <w:b/>
                <w:sz w:val="24"/>
              </w:rPr>
            </w:pPr>
          </w:p>
        </w:tc>
        <w:tc>
          <w:tcPr>
            <w:tcW w:w="3707" w:type="dxa"/>
            <w:vAlign w:val="center"/>
          </w:tcPr>
          <w:p>
            <w:pPr>
              <w:overflowPunct w:val="0"/>
              <w:spacing w:line="440" w:lineRule="exact"/>
              <w:jc w:val="center"/>
              <w:rPr>
                <w:rFonts w:eastAsia="仿宋"/>
                <w:b/>
                <w:sz w:val="24"/>
              </w:rPr>
            </w:pPr>
            <w:r>
              <w:rPr>
                <w:rFonts w:eastAsia="仿宋"/>
                <w:b/>
                <w:sz w:val="24"/>
              </w:rPr>
              <w:t>A6类论文</w:t>
            </w:r>
          </w:p>
        </w:tc>
        <w:tc>
          <w:tcPr>
            <w:tcW w:w="2977" w:type="dxa"/>
            <w:gridSpan w:val="3"/>
            <w:vAlign w:val="center"/>
          </w:tcPr>
          <w:p>
            <w:pPr>
              <w:overflowPunct w:val="0"/>
              <w:spacing w:line="440" w:lineRule="exact"/>
              <w:jc w:val="center"/>
              <w:rPr>
                <w:rFonts w:eastAsia="仿宋"/>
                <w:b/>
                <w:sz w:val="24"/>
              </w:rPr>
            </w:pPr>
            <w:r>
              <w:rPr>
                <w:rFonts w:eastAsia="仿宋"/>
                <w:b/>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5" w:type="dxa"/>
            <w:vMerge w:val="continue"/>
            <w:vAlign w:val="center"/>
          </w:tcPr>
          <w:p>
            <w:pPr>
              <w:overflowPunct w:val="0"/>
              <w:spacing w:line="440" w:lineRule="exact"/>
              <w:jc w:val="center"/>
              <w:rPr>
                <w:rFonts w:eastAsia="仿宋"/>
                <w:b/>
                <w:sz w:val="24"/>
              </w:rPr>
            </w:pPr>
          </w:p>
        </w:tc>
        <w:tc>
          <w:tcPr>
            <w:tcW w:w="3707" w:type="dxa"/>
            <w:vAlign w:val="center"/>
          </w:tcPr>
          <w:p>
            <w:pPr>
              <w:overflowPunct w:val="0"/>
              <w:spacing w:line="440" w:lineRule="exact"/>
              <w:jc w:val="center"/>
              <w:rPr>
                <w:rFonts w:eastAsia="仿宋"/>
                <w:b/>
                <w:sz w:val="24"/>
              </w:rPr>
            </w:pPr>
            <w:r>
              <w:rPr>
                <w:rFonts w:eastAsia="仿宋"/>
                <w:b/>
                <w:sz w:val="24"/>
              </w:rPr>
              <w:t>B类论文</w:t>
            </w:r>
          </w:p>
        </w:tc>
        <w:tc>
          <w:tcPr>
            <w:tcW w:w="2977" w:type="dxa"/>
            <w:gridSpan w:val="3"/>
            <w:vAlign w:val="center"/>
          </w:tcPr>
          <w:p>
            <w:pPr>
              <w:overflowPunct w:val="0"/>
              <w:spacing w:line="440" w:lineRule="exact"/>
              <w:jc w:val="center"/>
              <w:rPr>
                <w:rFonts w:eastAsia="仿宋"/>
                <w:b/>
                <w:sz w:val="24"/>
              </w:rPr>
            </w:pPr>
            <w:r>
              <w:rPr>
                <w:rFonts w:eastAsia="仿宋"/>
                <w:b/>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5" w:type="dxa"/>
            <w:vMerge w:val="continue"/>
            <w:vAlign w:val="center"/>
          </w:tcPr>
          <w:p>
            <w:pPr>
              <w:overflowPunct w:val="0"/>
              <w:spacing w:line="440" w:lineRule="exact"/>
              <w:jc w:val="center"/>
              <w:rPr>
                <w:rFonts w:eastAsia="仿宋"/>
                <w:b/>
                <w:sz w:val="24"/>
              </w:rPr>
            </w:pPr>
          </w:p>
        </w:tc>
        <w:tc>
          <w:tcPr>
            <w:tcW w:w="3707" w:type="dxa"/>
            <w:vAlign w:val="center"/>
          </w:tcPr>
          <w:p>
            <w:pPr>
              <w:overflowPunct w:val="0"/>
              <w:spacing w:line="440" w:lineRule="exact"/>
              <w:jc w:val="center"/>
              <w:rPr>
                <w:rFonts w:eastAsia="仿宋"/>
                <w:b/>
                <w:sz w:val="24"/>
              </w:rPr>
            </w:pPr>
            <w:r>
              <w:rPr>
                <w:rFonts w:eastAsia="仿宋"/>
                <w:b/>
                <w:sz w:val="24"/>
              </w:rPr>
              <w:t>C类论文</w:t>
            </w:r>
          </w:p>
        </w:tc>
        <w:tc>
          <w:tcPr>
            <w:tcW w:w="2977" w:type="dxa"/>
            <w:gridSpan w:val="3"/>
            <w:vAlign w:val="center"/>
          </w:tcPr>
          <w:p>
            <w:pPr>
              <w:overflowPunct w:val="0"/>
              <w:spacing w:line="440" w:lineRule="exact"/>
              <w:jc w:val="center"/>
              <w:rPr>
                <w:rFonts w:eastAsia="仿宋"/>
                <w:b/>
                <w:sz w:val="24"/>
              </w:rPr>
            </w:pPr>
            <w:r>
              <w:rPr>
                <w:rFonts w:eastAsia="仿宋"/>
                <w:b/>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5" w:type="dxa"/>
            <w:vMerge w:val="continue"/>
            <w:vAlign w:val="center"/>
          </w:tcPr>
          <w:p>
            <w:pPr>
              <w:overflowPunct w:val="0"/>
              <w:spacing w:line="440" w:lineRule="exact"/>
              <w:jc w:val="center"/>
              <w:rPr>
                <w:rFonts w:eastAsia="仿宋"/>
                <w:b/>
                <w:sz w:val="24"/>
              </w:rPr>
            </w:pPr>
          </w:p>
        </w:tc>
        <w:tc>
          <w:tcPr>
            <w:tcW w:w="3707" w:type="dxa"/>
            <w:vAlign w:val="center"/>
          </w:tcPr>
          <w:p>
            <w:pPr>
              <w:overflowPunct w:val="0"/>
              <w:spacing w:line="440" w:lineRule="exact"/>
              <w:jc w:val="center"/>
              <w:rPr>
                <w:rFonts w:eastAsia="仿宋"/>
                <w:b/>
                <w:sz w:val="24"/>
              </w:rPr>
            </w:pPr>
            <w:r>
              <w:rPr>
                <w:rFonts w:eastAsia="仿宋"/>
                <w:b/>
                <w:sz w:val="24"/>
              </w:rPr>
              <w:t>D类论文</w:t>
            </w:r>
          </w:p>
        </w:tc>
        <w:tc>
          <w:tcPr>
            <w:tcW w:w="2977" w:type="dxa"/>
            <w:gridSpan w:val="3"/>
            <w:vAlign w:val="center"/>
          </w:tcPr>
          <w:p>
            <w:pPr>
              <w:overflowPunct w:val="0"/>
              <w:spacing w:line="440" w:lineRule="exact"/>
              <w:jc w:val="center"/>
              <w:rPr>
                <w:rFonts w:eastAsia="仿宋"/>
                <w:b/>
                <w:sz w:val="24"/>
              </w:rPr>
            </w:pPr>
            <w:r>
              <w:rPr>
                <w:rFonts w:eastAsia="仿宋"/>
                <w:b/>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5" w:type="dxa"/>
            <w:vMerge w:val="continue"/>
            <w:vAlign w:val="center"/>
          </w:tcPr>
          <w:p>
            <w:pPr>
              <w:overflowPunct w:val="0"/>
              <w:spacing w:line="440" w:lineRule="exact"/>
              <w:jc w:val="center"/>
              <w:rPr>
                <w:rFonts w:eastAsia="仿宋"/>
                <w:b/>
                <w:sz w:val="24"/>
              </w:rPr>
            </w:pPr>
          </w:p>
        </w:tc>
        <w:tc>
          <w:tcPr>
            <w:tcW w:w="3707" w:type="dxa"/>
            <w:vAlign w:val="center"/>
          </w:tcPr>
          <w:p>
            <w:pPr>
              <w:overflowPunct w:val="0"/>
              <w:spacing w:line="440" w:lineRule="exact"/>
              <w:jc w:val="center"/>
              <w:rPr>
                <w:rFonts w:eastAsia="仿宋"/>
                <w:b/>
                <w:sz w:val="24"/>
              </w:rPr>
            </w:pPr>
            <w:r>
              <w:rPr>
                <w:rFonts w:eastAsia="仿宋"/>
                <w:b/>
                <w:sz w:val="24"/>
              </w:rPr>
              <w:t>E类论文</w:t>
            </w:r>
          </w:p>
        </w:tc>
        <w:tc>
          <w:tcPr>
            <w:tcW w:w="2977" w:type="dxa"/>
            <w:gridSpan w:val="3"/>
            <w:vAlign w:val="center"/>
          </w:tcPr>
          <w:p>
            <w:pPr>
              <w:overflowPunct w:val="0"/>
              <w:spacing w:line="440" w:lineRule="exact"/>
              <w:jc w:val="center"/>
              <w:rPr>
                <w:rFonts w:eastAsia="仿宋"/>
                <w:b/>
                <w:sz w:val="24"/>
              </w:rPr>
            </w:pPr>
            <w:r>
              <w:rPr>
                <w:rFonts w:eastAsia="仿宋"/>
                <w:b/>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5" w:type="dxa"/>
            <w:vMerge w:val="continue"/>
            <w:vAlign w:val="center"/>
          </w:tcPr>
          <w:p>
            <w:pPr>
              <w:overflowPunct w:val="0"/>
              <w:spacing w:line="440" w:lineRule="exact"/>
              <w:jc w:val="center"/>
              <w:rPr>
                <w:rFonts w:eastAsia="仿宋"/>
                <w:b/>
                <w:sz w:val="24"/>
              </w:rPr>
            </w:pPr>
          </w:p>
        </w:tc>
        <w:tc>
          <w:tcPr>
            <w:tcW w:w="3707" w:type="dxa"/>
            <w:vAlign w:val="center"/>
          </w:tcPr>
          <w:p>
            <w:pPr>
              <w:overflowPunct w:val="0"/>
              <w:spacing w:line="440" w:lineRule="exact"/>
              <w:jc w:val="center"/>
              <w:rPr>
                <w:rFonts w:eastAsia="仿宋"/>
                <w:b/>
                <w:sz w:val="24"/>
              </w:rPr>
            </w:pPr>
            <w:r>
              <w:rPr>
                <w:rFonts w:eastAsia="仿宋"/>
                <w:b/>
                <w:sz w:val="24"/>
              </w:rPr>
              <w:t>F类论文</w:t>
            </w:r>
          </w:p>
        </w:tc>
        <w:tc>
          <w:tcPr>
            <w:tcW w:w="2977" w:type="dxa"/>
            <w:gridSpan w:val="3"/>
            <w:vAlign w:val="center"/>
          </w:tcPr>
          <w:p>
            <w:pPr>
              <w:overflowPunct w:val="0"/>
              <w:spacing w:line="440" w:lineRule="exact"/>
              <w:jc w:val="center"/>
              <w:rPr>
                <w:rFonts w:eastAsia="仿宋"/>
                <w:b/>
                <w:sz w:val="24"/>
              </w:rPr>
            </w:pPr>
            <w:r>
              <w:rPr>
                <w:rFonts w:eastAsia="仿宋"/>
                <w:b/>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5" w:type="dxa"/>
            <w:vMerge w:val="restart"/>
            <w:vAlign w:val="center"/>
          </w:tcPr>
          <w:p>
            <w:pPr>
              <w:overflowPunct w:val="0"/>
              <w:spacing w:line="440" w:lineRule="exact"/>
              <w:jc w:val="center"/>
              <w:rPr>
                <w:rFonts w:eastAsia="仿宋"/>
                <w:b/>
                <w:sz w:val="24"/>
              </w:rPr>
            </w:pPr>
            <w:r>
              <w:rPr>
                <w:rFonts w:eastAsia="仿宋"/>
                <w:b/>
                <w:sz w:val="24"/>
              </w:rPr>
              <w:t>专利成果</w:t>
            </w:r>
          </w:p>
        </w:tc>
        <w:tc>
          <w:tcPr>
            <w:tcW w:w="3707" w:type="dxa"/>
            <w:vAlign w:val="center"/>
          </w:tcPr>
          <w:p>
            <w:pPr>
              <w:overflowPunct w:val="0"/>
              <w:spacing w:line="440" w:lineRule="exact"/>
              <w:jc w:val="center"/>
              <w:rPr>
                <w:rFonts w:eastAsia="仿宋"/>
                <w:b/>
                <w:sz w:val="24"/>
              </w:rPr>
            </w:pPr>
            <w:r>
              <w:rPr>
                <w:rFonts w:eastAsia="仿宋"/>
                <w:b/>
                <w:sz w:val="24"/>
              </w:rPr>
              <w:t>发明专利</w:t>
            </w:r>
          </w:p>
        </w:tc>
        <w:tc>
          <w:tcPr>
            <w:tcW w:w="2977" w:type="dxa"/>
            <w:gridSpan w:val="3"/>
            <w:vAlign w:val="center"/>
          </w:tcPr>
          <w:p>
            <w:pPr>
              <w:overflowPunct w:val="0"/>
              <w:spacing w:line="440" w:lineRule="exact"/>
              <w:jc w:val="center"/>
              <w:rPr>
                <w:rFonts w:eastAsia="仿宋"/>
                <w:b/>
                <w:sz w:val="24"/>
              </w:rPr>
            </w:pPr>
            <w:r>
              <w:rPr>
                <w:rFonts w:eastAsia="仿宋"/>
                <w:b/>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5" w:type="dxa"/>
            <w:vMerge w:val="continue"/>
            <w:vAlign w:val="center"/>
          </w:tcPr>
          <w:p>
            <w:pPr>
              <w:overflowPunct w:val="0"/>
              <w:spacing w:line="440" w:lineRule="exact"/>
              <w:jc w:val="center"/>
              <w:rPr>
                <w:rFonts w:eastAsia="仿宋"/>
                <w:b/>
                <w:sz w:val="24"/>
              </w:rPr>
            </w:pPr>
          </w:p>
        </w:tc>
        <w:tc>
          <w:tcPr>
            <w:tcW w:w="3707" w:type="dxa"/>
            <w:vAlign w:val="center"/>
          </w:tcPr>
          <w:p>
            <w:pPr>
              <w:overflowPunct w:val="0"/>
              <w:spacing w:line="440" w:lineRule="exact"/>
              <w:jc w:val="center"/>
              <w:rPr>
                <w:rFonts w:eastAsia="仿宋"/>
                <w:b/>
                <w:sz w:val="24"/>
              </w:rPr>
            </w:pPr>
            <w:r>
              <w:rPr>
                <w:rFonts w:eastAsia="仿宋"/>
                <w:b/>
                <w:sz w:val="24"/>
              </w:rPr>
              <w:t>实用新型专利</w:t>
            </w:r>
          </w:p>
        </w:tc>
        <w:tc>
          <w:tcPr>
            <w:tcW w:w="2977" w:type="dxa"/>
            <w:gridSpan w:val="3"/>
            <w:vAlign w:val="center"/>
          </w:tcPr>
          <w:p>
            <w:pPr>
              <w:overflowPunct w:val="0"/>
              <w:spacing w:line="440" w:lineRule="exact"/>
              <w:jc w:val="center"/>
              <w:rPr>
                <w:rFonts w:eastAsia="仿宋"/>
                <w:b/>
                <w:sz w:val="24"/>
              </w:rPr>
            </w:pPr>
            <w:r>
              <w:rPr>
                <w:rFonts w:eastAsia="仿宋"/>
                <w:b/>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5" w:type="dxa"/>
            <w:vMerge w:val="restart"/>
            <w:vAlign w:val="center"/>
          </w:tcPr>
          <w:p>
            <w:pPr>
              <w:overflowPunct w:val="0"/>
              <w:spacing w:line="440" w:lineRule="exact"/>
              <w:jc w:val="center"/>
              <w:rPr>
                <w:rFonts w:eastAsia="仿宋"/>
                <w:b/>
                <w:sz w:val="24"/>
              </w:rPr>
            </w:pPr>
            <w:r>
              <w:rPr>
                <w:rFonts w:eastAsia="仿宋"/>
                <w:b/>
                <w:sz w:val="24"/>
              </w:rPr>
              <w:t>各类科技竞赛（比赛）</w:t>
            </w:r>
          </w:p>
        </w:tc>
        <w:tc>
          <w:tcPr>
            <w:tcW w:w="3707" w:type="dxa"/>
            <w:vAlign w:val="center"/>
          </w:tcPr>
          <w:p>
            <w:pPr>
              <w:overflowPunct w:val="0"/>
              <w:spacing w:line="440" w:lineRule="exact"/>
              <w:jc w:val="center"/>
              <w:rPr>
                <w:rFonts w:eastAsia="仿宋"/>
                <w:b/>
                <w:sz w:val="24"/>
              </w:rPr>
            </w:pPr>
          </w:p>
        </w:tc>
        <w:tc>
          <w:tcPr>
            <w:tcW w:w="992" w:type="dxa"/>
            <w:vAlign w:val="center"/>
          </w:tcPr>
          <w:p>
            <w:pPr>
              <w:overflowPunct w:val="0"/>
              <w:spacing w:line="440" w:lineRule="exact"/>
              <w:jc w:val="center"/>
              <w:rPr>
                <w:rFonts w:eastAsia="仿宋"/>
                <w:b/>
                <w:sz w:val="24"/>
              </w:rPr>
            </w:pPr>
            <w:r>
              <w:rPr>
                <w:rFonts w:eastAsia="仿宋"/>
                <w:b/>
                <w:sz w:val="24"/>
              </w:rPr>
              <w:t>一类</w:t>
            </w:r>
          </w:p>
        </w:tc>
        <w:tc>
          <w:tcPr>
            <w:tcW w:w="992" w:type="dxa"/>
            <w:vAlign w:val="center"/>
          </w:tcPr>
          <w:p>
            <w:pPr>
              <w:overflowPunct w:val="0"/>
              <w:spacing w:line="440" w:lineRule="exact"/>
              <w:jc w:val="center"/>
              <w:rPr>
                <w:rFonts w:eastAsia="仿宋"/>
                <w:b/>
                <w:sz w:val="24"/>
              </w:rPr>
            </w:pPr>
            <w:r>
              <w:rPr>
                <w:rFonts w:eastAsia="仿宋"/>
                <w:b/>
                <w:sz w:val="24"/>
              </w:rPr>
              <w:t>二类</w:t>
            </w:r>
          </w:p>
        </w:tc>
        <w:tc>
          <w:tcPr>
            <w:tcW w:w="993" w:type="dxa"/>
            <w:vAlign w:val="center"/>
          </w:tcPr>
          <w:p>
            <w:pPr>
              <w:overflowPunct w:val="0"/>
              <w:spacing w:line="440" w:lineRule="exact"/>
              <w:jc w:val="center"/>
              <w:rPr>
                <w:rFonts w:eastAsia="仿宋"/>
                <w:b/>
                <w:sz w:val="24"/>
              </w:rPr>
            </w:pPr>
            <w:r>
              <w:rPr>
                <w:rFonts w:eastAsia="仿宋"/>
                <w:b/>
                <w:sz w:val="24"/>
              </w:rPr>
              <w:t>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5" w:type="dxa"/>
            <w:vMerge w:val="continue"/>
            <w:vAlign w:val="center"/>
          </w:tcPr>
          <w:p>
            <w:pPr>
              <w:overflowPunct w:val="0"/>
              <w:spacing w:line="440" w:lineRule="exact"/>
              <w:jc w:val="center"/>
              <w:rPr>
                <w:rFonts w:eastAsia="仿宋"/>
                <w:b/>
                <w:sz w:val="24"/>
              </w:rPr>
            </w:pPr>
          </w:p>
        </w:tc>
        <w:tc>
          <w:tcPr>
            <w:tcW w:w="3707" w:type="dxa"/>
            <w:vAlign w:val="center"/>
          </w:tcPr>
          <w:p>
            <w:pPr>
              <w:overflowPunct w:val="0"/>
              <w:spacing w:line="440" w:lineRule="exact"/>
              <w:jc w:val="center"/>
              <w:rPr>
                <w:rFonts w:eastAsia="仿宋"/>
                <w:b/>
                <w:sz w:val="24"/>
              </w:rPr>
            </w:pPr>
            <w:r>
              <w:rPr>
                <w:rFonts w:eastAsia="仿宋"/>
                <w:b/>
                <w:sz w:val="24"/>
              </w:rPr>
              <w:t>国家级特等奖</w:t>
            </w:r>
          </w:p>
        </w:tc>
        <w:tc>
          <w:tcPr>
            <w:tcW w:w="992" w:type="dxa"/>
            <w:vAlign w:val="center"/>
          </w:tcPr>
          <w:p>
            <w:pPr>
              <w:overflowPunct w:val="0"/>
              <w:spacing w:line="440" w:lineRule="exact"/>
              <w:jc w:val="center"/>
              <w:rPr>
                <w:rFonts w:eastAsia="仿宋"/>
                <w:b/>
                <w:sz w:val="24"/>
              </w:rPr>
            </w:pPr>
            <w:r>
              <w:rPr>
                <w:rFonts w:eastAsia="仿宋"/>
                <w:b/>
                <w:sz w:val="24"/>
              </w:rPr>
              <w:t>2000</w:t>
            </w:r>
          </w:p>
        </w:tc>
        <w:tc>
          <w:tcPr>
            <w:tcW w:w="992" w:type="dxa"/>
            <w:vAlign w:val="center"/>
          </w:tcPr>
          <w:p>
            <w:pPr>
              <w:overflowPunct w:val="0"/>
              <w:spacing w:line="440" w:lineRule="exact"/>
              <w:jc w:val="center"/>
              <w:rPr>
                <w:rFonts w:eastAsia="仿宋"/>
                <w:b/>
                <w:sz w:val="24"/>
              </w:rPr>
            </w:pPr>
            <w:r>
              <w:rPr>
                <w:rFonts w:eastAsia="仿宋"/>
                <w:b/>
                <w:sz w:val="24"/>
              </w:rPr>
              <w:t>1000</w:t>
            </w:r>
          </w:p>
        </w:tc>
        <w:tc>
          <w:tcPr>
            <w:tcW w:w="993" w:type="dxa"/>
            <w:vAlign w:val="center"/>
          </w:tcPr>
          <w:p>
            <w:pPr>
              <w:overflowPunct w:val="0"/>
              <w:spacing w:line="440" w:lineRule="exact"/>
              <w:jc w:val="center"/>
              <w:rPr>
                <w:rFonts w:eastAsia="仿宋"/>
                <w:b/>
                <w:sz w:val="24"/>
              </w:rPr>
            </w:pPr>
            <w:r>
              <w:rPr>
                <w:rFonts w:eastAsia="仿宋"/>
                <w:b/>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5" w:type="dxa"/>
            <w:vMerge w:val="continue"/>
            <w:vAlign w:val="center"/>
          </w:tcPr>
          <w:p>
            <w:pPr>
              <w:overflowPunct w:val="0"/>
              <w:spacing w:line="440" w:lineRule="exact"/>
              <w:jc w:val="center"/>
              <w:rPr>
                <w:rFonts w:eastAsia="仿宋"/>
                <w:b/>
                <w:sz w:val="24"/>
              </w:rPr>
            </w:pPr>
          </w:p>
        </w:tc>
        <w:tc>
          <w:tcPr>
            <w:tcW w:w="3707" w:type="dxa"/>
            <w:vAlign w:val="center"/>
          </w:tcPr>
          <w:p>
            <w:pPr>
              <w:overflowPunct w:val="0"/>
              <w:spacing w:line="440" w:lineRule="exact"/>
              <w:jc w:val="center"/>
              <w:rPr>
                <w:rFonts w:eastAsia="仿宋"/>
                <w:b/>
                <w:sz w:val="24"/>
              </w:rPr>
            </w:pPr>
            <w:r>
              <w:rPr>
                <w:rFonts w:eastAsia="仿宋"/>
                <w:b/>
                <w:sz w:val="24"/>
              </w:rPr>
              <w:t>国家级一等奖（第一名）</w:t>
            </w:r>
          </w:p>
        </w:tc>
        <w:tc>
          <w:tcPr>
            <w:tcW w:w="992" w:type="dxa"/>
            <w:vAlign w:val="center"/>
          </w:tcPr>
          <w:p>
            <w:pPr>
              <w:overflowPunct w:val="0"/>
              <w:spacing w:line="440" w:lineRule="exact"/>
              <w:jc w:val="center"/>
              <w:rPr>
                <w:rFonts w:eastAsia="仿宋"/>
                <w:b/>
                <w:sz w:val="24"/>
              </w:rPr>
            </w:pPr>
            <w:r>
              <w:rPr>
                <w:rFonts w:eastAsia="仿宋"/>
                <w:b/>
                <w:sz w:val="24"/>
              </w:rPr>
              <w:t>1000</w:t>
            </w:r>
          </w:p>
        </w:tc>
        <w:tc>
          <w:tcPr>
            <w:tcW w:w="992" w:type="dxa"/>
            <w:vAlign w:val="center"/>
          </w:tcPr>
          <w:p>
            <w:pPr>
              <w:overflowPunct w:val="0"/>
              <w:spacing w:line="440" w:lineRule="exact"/>
              <w:jc w:val="center"/>
              <w:rPr>
                <w:rFonts w:eastAsia="仿宋"/>
                <w:b/>
                <w:sz w:val="24"/>
              </w:rPr>
            </w:pPr>
            <w:r>
              <w:rPr>
                <w:rFonts w:eastAsia="仿宋"/>
                <w:b/>
                <w:sz w:val="24"/>
              </w:rPr>
              <w:t>600</w:t>
            </w:r>
          </w:p>
        </w:tc>
        <w:tc>
          <w:tcPr>
            <w:tcW w:w="993" w:type="dxa"/>
            <w:vAlign w:val="center"/>
          </w:tcPr>
          <w:p>
            <w:pPr>
              <w:overflowPunct w:val="0"/>
              <w:spacing w:line="440" w:lineRule="exact"/>
              <w:jc w:val="center"/>
              <w:rPr>
                <w:rFonts w:eastAsia="仿宋"/>
                <w:b/>
                <w:sz w:val="24"/>
              </w:rPr>
            </w:pPr>
            <w:r>
              <w:rPr>
                <w:rFonts w:eastAsia="仿宋"/>
                <w:b/>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5" w:type="dxa"/>
            <w:vMerge w:val="continue"/>
            <w:vAlign w:val="center"/>
          </w:tcPr>
          <w:p>
            <w:pPr>
              <w:overflowPunct w:val="0"/>
              <w:spacing w:line="440" w:lineRule="exact"/>
              <w:jc w:val="center"/>
              <w:rPr>
                <w:rFonts w:eastAsia="仿宋"/>
                <w:b/>
                <w:sz w:val="24"/>
              </w:rPr>
            </w:pPr>
          </w:p>
        </w:tc>
        <w:tc>
          <w:tcPr>
            <w:tcW w:w="3707" w:type="dxa"/>
            <w:vAlign w:val="center"/>
          </w:tcPr>
          <w:p>
            <w:pPr>
              <w:overflowPunct w:val="0"/>
              <w:spacing w:line="440" w:lineRule="exact"/>
              <w:jc w:val="center"/>
              <w:rPr>
                <w:rFonts w:eastAsia="仿宋"/>
                <w:b/>
                <w:sz w:val="24"/>
              </w:rPr>
            </w:pPr>
            <w:r>
              <w:rPr>
                <w:rFonts w:eastAsia="仿宋"/>
                <w:b/>
                <w:sz w:val="24"/>
              </w:rPr>
              <w:t>国家级二等奖（第二名）</w:t>
            </w:r>
          </w:p>
        </w:tc>
        <w:tc>
          <w:tcPr>
            <w:tcW w:w="992" w:type="dxa"/>
            <w:vAlign w:val="center"/>
          </w:tcPr>
          <w:p>
            <w:pPr>
              <w:overflowPunct w:val="0"/>
              <w:spacing w:line="440" w:lineRule="exact"/>
              <w:jc w:val="center"/>
              <w:rPr>
                <w:rFonts w:eastAsia="仿宋"/>
                <w:b/>
                <w:sz w:val="24"/>
              </w:rPr>
            </w:pPr>
            <w:r>
              <w:rPr>
                <w:rFonts w:eastAsia="仿宋"/>
                <w:b/>
                <w:sz w:val="24"/>
              </w:rPr>
              <w:t>600</w:t>
            </w:r>
          </w:p>
        </w:tc>
        <w:tc>
          <w:tcPr>
            <w:tcW w:w="992" w:type="dxa"/>
            <w:vAlign w:val="center"/>
          </w:tcPr>
          <w:p>
            <w:pPr>
              <w:overflowPunct w:val="0"/>
              <w:spacing w:line="440" w:lineRule="exact"/>
              <w:jc w:val="center"/>
              <w:rPr>
                <w:rFonts w:eastAsia="仿宋"/>
                <w:b/>
                <w:sz w:val="24"/>
              </w:rPr>
            </w:pPr>
            <w:r>
              <w:rPr>
                <w:rFonts w:eastAsia="仿宋"/>
                <w:b/>
                <w:sz w:val="24"/>
              </w:rPr>
              <w:t>300</w:t>
            </w:r>
          </w:p>
        </w:tc>
        <w:tc>
          <w:tcPr>
            <w:tcW w:w="993" w:type="dxa"/>
            <w:vAlign w:val="center"/>
          </w:tcPr>
          <w:p>
            <w:pPr>
              <w:overflowPunct w:val="0"/>
              <w:spacing w:line="440" w:lineRule="exact"/>
              <w:jc w:val="center"/>
              <w:rPr>
                <w:rFonts w:eastAsia="仿宋"/>
                <w:b/>
                <w:sz w:val="24"/>
              </w:rPr>
            </w:pPr>
            <w:r>
              <w:rPr>
                <w:rFonts w:eastAsia="仿宋"/>
                <w:b/>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5" w:type="dxa"/>
            <w:vMerge w:val="continue"/>
            <w:vAlign w:val="center"/>
          </w:tcPr>
          <w:p>
            <w:pPr>
              <w:overflowPunct w:val="0"/>
              <w:spacing w:line="440" w:lineRule="exact"/>
              <w:jc w:val="center"/>
              <w:rPr>
                <w:rFonts w:eastAsia="仿宋"/>
                <w:b/>
                <w:sz w:val="24"/>
              </w:rPr>
            </w:pPr>
          </w:p>
        </w:tc>
        <w:tc>
          <w:tcPr>
            <w:tcW w:w="3707" w:type="dxa"/>
            <w:vAlign w:val="center"/>
          </w:tcPr>
          <w:p>
            <w:pPr>
              <w:overflowPunct w:val="0"/>
              <w:spacing w:line="440" w:lineRule="exact"/>
              <w:jc w:val="center"/>
              <w:rPr>
                <w:rFonts w:eastAsia="仿宋"/>
                <w:b/>
                <w:sz w:val="24"/>
              </w:rPr>
            </w:pPr>
            <w:r>
              <w:rPr>
                <w:rFonts w:eastAsia="仿宋"/>
                <w:b/>
                <w:sz w:val="24"/>
              </w:rPr>
              <w:t>国家级三等奖（第三名）</w:t>
            </w:r>
          </w:p>
        </w:tc>
        <w:tc>
          <w:tcPr>
            <w:tcW w:w="992" w:type="dxa"/>
            <w:vAlign w:val="center"/>
          </w:tcPr>
          <w:p>
            <w:pPr>
              <w:overflowPunct w:val="0"/>
              <w:spacing w:line="440" w:lineRule="exact"/>
              <w:jc w:val="center"/>
              <w:rPr>
                <w:rFonts w:eastAsia="仿宋"/>
                <w:b/>
                <w:sz w:val="24"/>
              </w:rPr>
            </w:pPr>
            <w:r>
              <w:rPr>
                <w:rFonts w:eastAsia="仿宋"/>
                <w:b/>
                <w:sz w:val="24"/>
              </w:rPr>
              <w:t>300</w:t>
            </w:r>
          </w:p>
        </w:tc>
        <w:tc>
          <w:tcPr>
            <w:tcW w:w="992" w:type="dxa"/>
            <w:vAlign w:val="center"/>
          </w:tcPr>
          <w:p>
            <w:pPr>
              <w:overflowPunct w:val="0"/>
              <w:spacing w:line="440" w:lineRule="exact"/>
              <w:jc w:val="center"/>
              <w:rPr>
                <w:rFonts w:eastAsia="仿宋"/>
                <w:b/>
                <w:sz w:val="24"/>
              </w:rPr>
            </w:pPr>
            <w:r>
              <w:rPr>
                <w:rFonts w:eastAsia="仿宋"/>
                <w:b/>
                <w:sz w:val="24"/>
              </w:rPr>
              <w:t>200</w:t>
            </w:r>
          </w:p>
        </w:tc>
        <w:tc>
          <w:tcPr>
            <w:tcW w:w="993" w:type="dxa"/>
            <w:vAlign w:val="center"/>
          </w:tcPr>
          <w:p>
            <w:pPr>
              <w:overflowPunct w:val="0"/>
              <w:spacing w:line="440" w:lineRule="exact"/>
              <w:jc w:val="center"/>
              <w:rPr>
                <w:rFonts w:eastAsia="仿宋"/>
                <w:b/>
                <w:sz w:val="24"/>
              </w:rPr>
            </w:pPr>
            <w:r>
              <w:rPr>
                <w:rFonts w:eastAsia="仿宋"/>
                <w:b/>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5" w:type="dxa"/>
            <w:vMerge w:val="continue"/>
            <w:vAlign w:val="center"/>
          </w:tcPr>
          <w:p>
            <w:pPr>
              <w:overflowPunct w:val="0"/>
              <w:spacing w:line="440" w:lineRule="exact"/>
              <w:jc w:val="center"/>
              <w:rPr>
                <w:rFonts w:eastAsia="仿宋"/>
                <w:b/>
                <w:sz w:val="24"/>
              </w:rPr>
            </w:pPr>
          </w:p>
        </w:tc>
        <w:tc>
          <w:tcPr>
            <w:tcW w:w="3707" w:type="dxa"/>
            <w:vAlign w:val="center"/>
          </w:tcPr>
          <w:p>
            <w:pPr>
              <w:overflowPunct w:val="0"/>
              <w:spacing w:line="440" w:lineRule="exact"/>
              <w:jc w:val="center"/>
              <w:rPr>
                <w:rFonts w:eastAsia="仿宋"/>
                <w:b/>
                <w:sz w:val="24"/>
              </w:rPr>
            </w:pPr>
            <w:r>
              <w:rPr>
                <w:rFonts w:eastAsia="仿宋"/>
                <w:b/>
                <w:sz w:val="24"/>
              </w:rPr>
              <w:t>省级特等奖</w:t>
            </w:r>
          </w:p>
        </w:tc>
        <w:tc>
          <w:tcPr>
            <w:tcW w:w="992" w:type="dxa"/>
            <w:vAlign w:val="center"/>
          </w:tcPr>
          <w:p>
            <w:pPr>
              <w:overflowPunct w:val="0"/>
              <w:spacing w:line="440" w:lineRule="exact"/>
              <w:jc w:val="center"/>
              <w:rPr>
                <w:rFonts w:eastAsia="仿宋"/>
                <w:b/>
                <w:sz w:val="24"/>
              </w:rPr>
            </w:pPr>
            <w:r>
              <w:rPr>
                <w:rFonts w:eastAsia="仿宋"/>
                <w:b/>
                <w:sz w:val="24"/>
              </w:rPr>
              <w:t>300</w:t>
            </w:r>
          </w:p>
        </w:tc>
        <w:tc>
          <w:tcPr>
            <w:tcW w:w="992" w:type="dxa"/>
            <w:vAlign w:val="center"/>
          </w:tcPr>
          <w:p>
            <w:pPr>
              <w:overflowPunct w:val="0"/>
              <w:spacing w:line="440" w:lineRule="exact"/>
              <w:jc w:val="center"/>
              <w:rPr>
                <w:rFonts w:eastAsia="仿宋"/>
                <w:b/>
                <w:sz w:val="24"/>
              </w:rPr>
            </w:pPr>
            <w:r>
              <w:rPr>
                <w:rFonts w:eastAsia="仿宋"/>
                <w:b/>
                <w:sz w:val="24"/>
              </w:rPr>
              <w:t>200</w:t>
            </w:r>
          </w:p>
        </w:tc>
        <w:tc>
          <w:tcPr>
            <w:tcW w:w="993" w:type="dxa"/>
            <w:vAlign w:val="center"/>
          </w:tcPr>
          <w:p>
            <w:pPr>
              <w:overflowPunct w:val="0"/>
              <w:spacing w:line="440" w:lineRule="exact"/>
              <w:jc w:val="center"/>
              <w:rPr>
                <w:rFonts w:eastAsia="仿宋"/>
                <w:b/>
                <w:sz w:val="24"/>
              </w:rPr>
            </w:pPr>
            <w:r>
              <w:rPr>
                <w:rFonts w:eastAsia="仿宋"/>
                <w:b/>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5" w:type="dxa"/>
            <w:vMerge w:val="continue"/>
            <w:vAlign w:val="center"/>
          </w:tcPr>
          <w:p>
            <w:pPr>
              <w:overflowPunct w:val="0"/>
              <w:spacing w:line="440" w:lineRule="exact"/>
              <w:jc w:val="center"/>
              <w:rPr>
                <w:rFonts w:eastAsia="仿宋"/>
                <w:b/>
                <w:sz w:val="24"/>
              </w:rPr>
            </w:pPr>
          </w:p>
        </w:tc>
        <w:tc>
          <w:tcPr>
            <w:tcW w:w="3707" w:type="dxa"/>
            <w:vAlign w:val="center"/>
          </w:tcPr>
          <w:p>
            <w:pPr>
              <w:overflowPunct w:val="0"/>
              <w:spacing w:line="440" w:lineRule="exact"/>
              <w:jc w:val="center"/>
              <w:rPr>
                <w:rFonts w:eastAsia="仿宋"/>
                <w:b/>
                <w:sz w:val="24"/>
              </w:rPr>
            </w:pPr>
            <w:r>
              <w:rPr>
                <w:rFonts w:eastAsia="仿宋"/>
                <w:b/>
                <w:sz w:val="24"/>
              </w:rPr>
              <w:t>省级一等奖（第一名）</w:t>
            </w:r>
          </w:p>
        </w:tc>
        <w:tc>
          <w:tcPr>
            <w:tcW w:w="992" w:type="dxa"/>
            <w:vAlign w:val="center"/>
          </w:tcPr>
          <w:p>
            <w:pPr>
              <w:overflowPunct w:val="0"/>
              <w:spacing w:line="440" w:lineRule="exact"/>
              <w:jc w:val="center"/>
              <w:rPr>
                <w:rFonts w:eastAsia="仿宋"/>
                <w:b/>
                <w:sz w:val="24"/>
              </w:rPr>
            </w:pPr>
            <w:r>
              <w:rPr>
                <w:rFonts w:eastAsia="仿宋"/>
                <w:b/>
                <w:sz w:val="24"/>
              </w:rPr>
              <w:t>200</w:t>
            </w:r>
          </w:p>
        </w:tc>
        <w:tc>
          <w:tcPr>
            <w:tcW w:w="992" w:type="dxa"/>
            <w:vAlign w:val="center"/>
          </w:tcPr>
          <w:p>
            <w:pPr>
              <w:overflowPunct w:val="0"/>
              <w:spacing w:line="440" w:lineRule="exact"/>
              <w:jc w:val="center"/>
              <w:rPr>
                <w:rFonts w:eastAsia="仿宋"/>
                <w:b/>
                <w:sz w:val="24"/>
              </w:rPr>
            </w:pPr>
            <w:r>
              <w:rPr>
                <w:rFonts w:eastAsia="仿宋"/>
                <w:b/>
                <w:sz w:val="24"/>
              </w:rPr>
              <w:t>150</w:t>
            </w:r>
          </w:p>
        </w:tc>
        <w:tc>
          <w:tcPr>
            <w:tcW w:w="993" w:type="dxa"/>
            <w:vAlign w:val="center"/>
          </w:tcPr>
          <w:p>
            <w:pPr>
              <w:overflowPunct w:val="0"/>
              <w:spacing w:line="440" w:lineRule="exact"/>
              <w:jc w:val="center"/>
              <w:rPr>
                <w:rFonts w:eastAsia="仿宋"/>
                <w:b/>
                <w:sz w:val="24"/>
              </w:rPr>
            </w:pPr>
            <w:r>
              <w:rPr>
                <w:rFonts w:eastAsia="仿宋"/>
                <w:b/>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5" w:type="dxa"/>
            <w:vMerge w:val="continue"/>
            <w:vAlign w:val="center"/>
          </w:tcPr>
          <w:p>
            <w:pPr>
              <w:overflowPunct w:val="0"/>
              <w:spacing w:line="440" w:lineRule="exact"/>
              <w:jc w:val="center"/>
              <w:rPr>
                <w:rFonts w:eastAsia="仿宋"/>
                <w:b/>
                <w:sz w:val="24"/>
              </w:rPr>
            </w:pPr>
          </w:p>
        </w:tc>
        <w:tc>
          <w:tcPr>
            <w:tcW w:w="3707" w:type="dxa"/>
            <w:vAlign w:val="center"/>
          </w:tcPr>
          <w:p>
            <w:pPr>
              <w:overflowPunct w:val="0"/>
              <w:spacing w:line="440" w:lineRule="exact"/>
              <w:jc w:val="center"/>
              <w:rPr>
                <w:rFonts w:eastAsia="仿宋"/>
                <w:b/>
                <w:sz w:val="24"/>
              </w:rPr>
            </w:pPr>
            <w:r>
              <w:rPr>
                <w:rFonts w:eastAsia="仿宋"/>
                <w:b/>
                <w:sz w:val="24"/>
              </w:rPr>
              <w:t>省级二等奖（第二名）</w:t>
            </w:r>
          </w:p>
        </w:tc>
        <w:tc>
          <w:tcPr>
            <w:tcW w:w="992" w:type="dxa"/>
            <w:vAlign w:val="center"/>
          </w:tcPr>
          <w:p>
            <w:pPr>
              <w:overflowPunct w:val="0"/>
              <w:spacing w:line="440" w:lineRule="exact"/>
              <w:jc w:val="center"/>
              <w:rPr>
                <w:rFonts w:eastAsia="仿宋"/>
                <w:b/>
                <w:sz w:val="24"/>
              </w:rPr>
            </w:pPr>
            <w:r>
              <w:rPr>
                <w:rFonts w:eastAsia="仿宋"/>
                <w:b/>
                <w:sz w:val="24"/>
              </w:rPr>
              <w:t>150</w:t>
            </w:r>
          </w:p>
        </w:tc>
        <w:tc>
          <w:tcPr>
            <w:tcW w:w="992" w:type="dxa"/>
            <w:vAlign w:val="center"/>
          </w:tcPr>
          <w:p>
            <w:pPr>
              <w:overflowPunct w:val="0"/>
              <w:spacing w:line="440" w:lineRule="exact"/>
              <w:jc w:val="center"/>
              <w:rPr>
                <w:rFonts w:eastAsia="仿宋"/>
                <w:b/>
                <w:sz w:val="24"/>
              </w:rPr>
            </w:pPr>
            <w:r>
              <w:rPr>
                <w:rFonts w:eastAsia="仿宋"/>
                <w:b/>
                <w:sz w:val="24"/>
              </w:rPr>
              <w:t>100</w:t>
            </w:r>
          </w:p>
        </w:tc>
        <w:tc>
          <w:tcPr>
            <w:tcW w:w="993" w:type="dxa"/>
            <w:vAlign w:val="center"/>
          </w:tcPr>
          <w:p>
            <w:pPr>
              <w:overflowPunct w:val="0"/>
              <w:spacing w:line="440" w:lineRule="exact"/>
              <w:jc w:val="center"/>
              <w:rPr>
                <w:rFonts w:eastAsia="仿宋"/>
                <w:b/>
                <w:sz w:val="24"/>
              </w:rPr>
            </w:pPr>
            <w:r>
              <w:rPr>
                <w:rFonts w:eastAsia="仿宋"/>
                <w:b/>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5" w:type="dxa"/>
            <w:vMerge w:val="continue"/>
            <w:vAlign w:val="center"/>
          </w:tcPr>
          <w:p>
            <w:pPr>
              <w:overflowPunct w:val="0"/>
              <w:spacing w:line="440" w:lineRule="exact"/>
              <w:jc w:val="center"/>
              <w:rPr>
                <w:rFonts w:eastAsia="仿宋"/>
                <w:b/>
                <w:sz w:val="24"/>
              </w:rPr>
            </w:pPr>
          </w:p>
        </w:tc>
        <w:tc>
          <w:tcPr>
            <w:tcW w:w="3707" w:type="dxa"/>
            <w:vAlign w:val="center"/>
          </w:tcPr>
          <w:p>
            <w:pPr>
              <w:overflowPunct w:val="0"/>
              <w:spacing w:line="440" w:lineRule="exact"/>
              <w:jc w:val="center"/>
              <w:rPr>
                <w:rFonts w:eastAsia="仿宋"/>
                <w:b/>
                <w:sz w:val="24"/>
              </w:rPr>
            </w:pPr>
            <w:r>
              <w:rPr>
                <w:rFonts w:eastAsia="仿宋"/>
                <w:b/>
                <w:sz w:val="24"/>
              </w:rPr>
              <w:t>省级三等奖（第三名）</w:t>
            </w:r>
          </w:p>
        </w:tc>
        <w:tc>
          <w:tcPr>
            <w:tcW w:w="992" w:type="dxa"/>
            <w:vAlign w:val="center"/>
          </w:tcPr>
          <w:p>
            <w:pPr>
              <w:overflowPunct w:val="0"/>
              <w:spacing w:line="440" w:lineRule="exact"/>
              <w:jc w:val="center"/>
              <w:rPr>
                <w:rFonts w:eastAsia="仿宋"/>
                <w:b/>
                <w:sz w:val="24"/>
              </w:rPr>
            </w:pPr>
            <w:r>
              <w:rPr>
                <w:rFonts w:eastAsia="仿宋"/>
                <w:b/>
                <w:sz w:val="24"/>
              </w:rPr>
              <w:t>100</w:t>
            </w:r>
          </w:p>
        </w:tc>
        <w:tc>
          <w:tcPr>
            <w:tcW w:w="992" w:type="dxa"/>
            <w:vAlign w:val="center"/>
          </w:tcPr>
          <w:p>
            <w:pPr>
              <w:overflowPunct w:val="0"/>
              <w:spacing w:line="440" w:lineRule="exact"/>
              <w:jc w:val="center"/>
              <w:rPr>
                <w:rFonts w:eastAsia="仿宋"/>
                <w:b/>
                <w:sz w:val="24"/>
              </w:rPr>
            </w:pPr>
            <w:r>
              <w:rPr>
                <w:rFonts w:eastAsia="仿宋"/>
                <w:b/>
                <w:sz w:val="24"/>
              </w:rPr>
              <w:t>60</w:t>
            </w:r>
          </w:p>
        </w:tc>
        <w:tc>
          <w:tcPr>
            <w:tcW w:w="993" w:type="dxa"/>
            <w:vAlign w:val="center"/>
          </w:tcPr>
          <w:p>
            <w:pPr>
              <w:overflowPunct w:val="0"/>
              <w:spacing w:line="440" w:lineRule="exact"/>
              <w:jc w:val="center"/>
              <w:rPr>
                <w:rFonts w:eastAsia="仿宋"/>
                <w:b/>
                <w:sz w:val="24"/>
              </w:rPr>
            </w:pPr>
            <w:r>
              <w:rPr>
                <w:rFonts w:eastAsia="仿宋"/>
                <w:b/>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5" w:type="dxa"/>
            <w:vMerge w:val="restart"/>
            <w:vAlign w:val="center"/>
          </w:tcPr>
          <w:p>
            <w:pPr>
              <w:overflowPunct w:val="0"/>
              <w:spacing w:line="440" w:lineRule="exact"/>
              <w:jc w:val="center"/>
              <w:rPr>
                <w:rFonts w:eastAsia="仿宋"/>
                <w:b/>
                <w:sz w:val="28"/>
              </w:rPr>
            </w:pPr>
            <w:r>
              <w:rPr>
                <w:rFonts w:eastAsia="仿宋"/>
                <w:b/>
                <w:sz w:val="24"/>
              </w:rPr>
              <w:t>科技创新项目</w:t>
            </w:r>
          </w:p>
        </w:tc>
        <w:tc>
          <w:tcPr>
            <w:tcW w:w="3707" w:type="dxa"/>
            <w:vAlign w:val="center"/>
          </w:tcPr>
          <w:p>
            <w:pPr>
              <w:overflowPunct w:val="0"/>
              <w:spacing w:line="440" w:lineRule="exact"/>
              <w:jc w:val="center"/>
              <w:rPr>
                <w:rFonts w:eastAsia="仿宋"/>
                <w:b/>
                <w:sz w:val="24"/>
              </w:rPr>
            </w:pPr>
            <w:r>
              <w:rPr>
                <w:rFonts w:eastAsia="仿宋"/>
                <w:b/>
                <w:sz w:val="24"/>
              </w:rPr>
              <w:t>国家级研究生创新创业训练项目</w:t>
            </w:r>
          </w:p>
        </w:tc>
        <w:tc>
          <w:tcPr>
            <w:tcW w:w="2977" w:type="dxa"/>
            <w:gridSpan w:val="3"/>
            <w:vAlign w:val="center"/>
          </w:tcPr>
          <w:p>
            <w:pPr>
              <w:overflowPunct w:val="0"/>
              <w:spacing w:line="440" w:lineRule="exact"/>
              <w:jc w:val="center"/>
              <w:rPr>
                <w:rFonts w:eastAsia="仿宋"/>
                <w:b/>
                <w:sz w:val="24"/>
              </w:rPr>
            </w:pPr>
            <w:r>
              <w:rPr>
                <w:rFonts w:eastAsia="仿宋"/>
                <w:b/>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5" w:type="dxa"/>
            <w:vMerge w:val="continue"/>
            <w:vAlign w:val="center"/>
          </w:tcPr>
          <w:p>
            <w:pPr>
              <w:overflowPunct w:val="0"/>
              <w:spacing w:line="440" w:lineRule="exact"/>
              <w:jc w:val="center"/>
              <w:rPr>
                <w:rFonts w:eastAsia="仿宋"/>
                <w:b/>
                <w:sz w:val="28"/>
              </w:rPr>
            </w:pPr>
          </w:p>
        </w:tc>
        <w:tc>
          <w:tcPr>
            <w:tcW w:w="3707" w:type="dxa"/>
            <w:vAlign w:val="center"/>
          </w:tcPr>
          <w:p>
            <w:pPr>
              <w:overflowPunct w:val="0"/>
              <w:spacing w:line="440" w:lineRule="exact"/>
              <w:jc w:val="center"/>
              <w:rPr>
                <w:rFonts w:eastAsia="仿宋"/>
                <w:b/>
                <w:sz w:val="24"/>
              </w:rPr>
            </w:pPr>
            <w:r>
              <w:rPr>
                <w:rFonts w:eastAsia="仿宋"/>
                <w:b/>
                <w:sz w:val="24"/>
              </w:rPr>
              <w:t>省级研究生创新创业训练项目</w:t>
            </w:r>
          </w:p>
        </w:tc>
        <w:tc>
          <w:tcPr>
            <w:tcW w:w="2977" w:type="dxa"/>
            <w:gridSpan w:val="3"/>
            <w:vAlign w:val="center"/>
          </w:tcPr>
          <w:p>
            <w:pPr>
              <w:overflowPunct w:val="0"/>
              <w:spacing w:line="440" w:lineRule="exact"/>
              <w:jc w:val="center"/>
              <w:rPr>
                <w:rFonts w:eastAsia="仿宋"/>
                <w:b/>
                <w:sz w:val="24"/>
              </w:rPr>
            </w:pPr>
            <w:r>
              <w:rPr>
                <w:rFonts w:eastAsia="仿宋"/>
                <w:b/>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75" w:type="dxa"/>
            <w:vMerge w:val="continue"/>
            <w:vAlign w:val="center"/>
          </w:tcPr>
          <w:p>
            <w:pPr>
              <w:overflowPunct w:val="0"/>
              <w:spacing w:line="440" w:lineRule="exact"/>
              <w:jc w:val="center"/>
              <w:rPr>
                <w:rFonts w:eastAsia="仿宋"/>
                <w:b/>
                <w:sz w:val="28"/>
              </w:rPr>
            </w:pPr>
          </w:p>
        </w:tc>
        <w:tc>
          <w:tcPr>
            <w:tcW w:w="3707" w:type="dxa"/>
            <w:vAlign w:val="center"/>
          </w:tcPr>
          <w:p>
            <w:pPr>
              <w:overflowPunct w:val="0"/>
              <w:spacing w:line="440" w:lineRule="exact"/>
              <w:jc w:val="center"/>
              <w:rPr>
                <w:rFonts w:eastAsia="仿宋"/>
                <w:b/>
                <w:sz w:val="24"/>
              </w:rPr>
            </w:pPr>
            <w:r>
              <w:rPr>
                <w:rFonts w:eastAsia="仿宋"/>
                <w:b/>
                <w:sz w:val="24"/>
              </w:rPr>
              <w:t>校级研究生创新创业训练项目</w:t>
            </w:r>
          </w:p>
        </w:tc>
        <w:tc>
          <w:tcPr>
            <w:tcW w:w="2977" w:type="dxa"/>
            <w:gridSpan w:val="3"/>
            <w:vAlign w:val="center"/>
          </w:tcPr>
          <w:p>
            <w:pPr>
              <w:overflowPunct w:val="0"/>
              <w:spacing w:line="440" w:lineRule="exact"/>
              <w:jc w:val="center"/>
              <w:rPr>
                <w:rFonts w:eastAsia="仿宋"/>
                <w:b/>
                <w:sz w:val="24"/>
              </w:rPr>
            </w:pPr>
            <w:r>
              <w:rPr>
                <w:rFonts w:eastAsia="仿宋"/>
                <w:b/>
                <w:sz w:val="24"/>
              </w:rPr>
              <w:t>30</w:t>
            </w:r>
          </w:p>
        </w:tc>
      </w:tr>
    </w:tbl>
    <w:p>
      <w:pPr>
        <w:overflowPunct w:val="0"/>
        <w:spacing w:before="156" w:beforeLines="50" w:after="156" w:afterLines="50" w:line="440" w:lineRule="exact"/>
        <w:ind w:firstLine="562" w:firstLineChars="200"/>
        <w:rPr>
          <w:rFonts w:ascii="仿宋" w:hAnsi="仿宋" w:eastAsia="仿宋"/>
          <w:b/>
          <w:sz w:val="28"/>
          <w:szCs w:val="28"/>
        </w:rPr>
      </w:pPr>
      <w:r>
        <w:rPr>
          <w:rFonts w:hint="eastAsia" w:ascii="仿宋" w:hAnsi="仿宋" w:eastAsia="仿宋"/>
          <w:b/>
          <w:sz w:val="28"/>
          <w:szCs w:val="28"/>
        </w:rPr>
        <w:t>学术论文相关说明：</w:t>
      </w:r>
    </w:p>
    <w:p>
      <w:pPr>
        <w:overflowPunct w:val="0"/>
        <w:spacing w:before="156" w:beforeLines="50" w:after="156" w:afterLines="50" w:line="440" w:lineRule="exact"/>
        <w:ind w:firstLine="560" w:firstLineChars="200"/>
        <w:rPr>
          <w:rFonts w:ascii="仿宋" w:hAnsi="仿宋" w:eastAsia="仿宋"/>
          <w:sz w:val="28"/>
          <w:szCs w:val="28"/>
        </w:rPr>
      </w:pPr>
      <w:r>
        <w:rPr>
          <w:rFonts w:ascii="仿宋" w:hAnsi="仿宋" w:eastAsia="仿宋"/>
          <w:sz w:val="28"/>
          <w:szCs w:val="28"/>
        </w:rPr>
        <w:t>A1</w:t>
      </w:r>
      <w:r>
        <w:rPr>
          <w:rFonts w:hint="eastAsia" w:ascii="仿宋" w:hAnsi="仿宋" w:eastAsia="仿宋"/>
          <w:sz w:val="28"/>
          <w:szCs w:val="28"/>
        </w:rPr>
        <w:t>类论文：发表在《</w:t>
      </w:r>
      <w:r>
        <w:rPr>
          <w:rFonts w:ascii="仿宋" w:hAnsi="仿宋" w:eastAsia="仿宋"/>
          <w:sz w:val="28"/>
          <w:szCs w:val="28"/>
        </w:rPr>
        <w:t>SCIENCE</w:t>
      </w:r>
      <w:r>
        <w:rPr>
          <w:rFonts w:hint="eastAsia" w:ascii="仿宋" w:hAnsi="仿宋" w:eastAsia="仿宋"/>
          <w:sz w:val="28"/>
          <w:szCs w:val="28"/>
        </w:rPr>
        <w:t>》、《</w:t>
      </w:r>
      <w:r>
        <w:rPr>
          <w:rFonts w:ascii="仿宋" w:hAnsi="仿宋" w:eastAsia="仿宋"/>
          <w:sz w:val="28"/>
          <w:szCs w:val="28"/>
        </w:rPr>
        <w:t>NATURE</w:t>
      </w:r>
      <w:r>
        <w:rPr>
          <w:rFonts w:hint="eastAsia" w:ascii="仿宋" w:hAnsi="仿宋" w:eastAsia="仿宋"/>
          <w:sz w:val="28"/>
          <w:szCs w:val="28"/>
        </w:rPr>
        <w:t>》、《</w:t>
      </w:r>
      <w:r>
        <w:rPr>
          <w:rFonts w:ascii="仿宋" w:hAnsi="仿宋" w:eastAsia="仿宋"/>
          <w:sz w:val="28"/>
          <w:szCs w:val="28"/>
        </w:rPr>
        <w:t>CELL</w:t>
      </w:r>
      <w:r>
        <w:rPr>
          <w:rFonts w:hint="eastAsia" w:ascii="仿宋" w:hAnsi="仿宋" w:eastAsia="仿宋"/>
          <w:sz w:val="28"/>
          <w:szCs w:val="28"/>
        </w:rPr>
        <w:t>》等期刊上的学术论文；</w:t>
      </w:r>
    </w:p>
    <w:p>
      <w:pPr>
        <w:overflowPunct w:val="0"/>
        <w:spacing w:before="156" w:beforeLines="50" w:after="156" w:afterLines="50" w:line="440" w:lineRule="exact"/>
        <w:ind w:firstLine="560" w:firstLineChars="200"/>
        <w:rPr>
          <w:rFonts w:ascii="仿宋" w:hAnsi="仿宋" w:eastAsia="仿宋"/>
          <w:sz w:val="28"/>
          <w:szCs w:val="28"/>
        </w:rPr>
      </w:pPr>
      <w:r>
        <w:rPr>
          <w:rFonts w:ascii="仿宋" w:hAnsi="仿宋" w:eastAsia="仿宋"/>
          <w:sz w:val="28"/>
          <w:szCs w:val="28"/>
        </w:rPr>
        <w:t xml:space="preserve">A2 </w:t>
      </w:r>
      <w:r>
        <w:rPr>
          <w:rFonts w:hint="eastAsia" w:ascii="仿宋" w:hAnsi="仿宋" w:eastAsia="仿宋"/>
          <w:sz w:val="28"/>
          <w:szCs w:val="28"/>
        </w:rPr>
        <w:t>类论文：</w:t>
      </w:r>
      <w:r>
        <w:rPr>
          <w:rFonts w:ascii="仿宋" w:hAnsi="仿宋" w:eastAsia="仿宋"/>
          <w:sz w:val="28"/>
          <w:szCs w:val="28"/>
        </w:rPr>
        <w:t>ESI</w:t>
      </w:r>
      <w:r>
        <w:rPr>
          <w:rFonts w:hint="eastAsia" w:ascii="仿宋" w:hAnsi="仿宋" w:eastAsia="仿宋"/>
          <w:sz w:val="28"/>
          <w:szCs w:val="28"/>
        </w:rPr>
        <w:t>高被引论文；</w:t>
      </w:r>
    </w:p>
    <w:p>
      <w:pPr>
        <w:overflowPunct w:val="0"/>
        <w:spacing w:before="156" w:beforeLines="50" w:after="156" w:afterLines="50" w:line="440" w:lineRule="exact"/>
        <w:ind w:firstLine="560" w:firstLineChars="200"/>
        <w:rPr>
          <w:rFonts w:ascii="仿宋" w:hAnsi="仿宋" w:eastAsia="仿宋"/>
          <w:sz w:val="28"/>
          <w:szCs w:val="28"/>
        </w:rPr>
      </w:pPr>
      <w:r>
        <w:rPr>
          <w:rFonts w:ascii="仿宋" w:hAnsi="仿宋" w:eastAsia="仿宋"/>
          <w:sz w:val="28"/>
          <w:szCs w:val="28"/>
        </w:rPr>
        <w:t>A3</w:t>
      </w:r>
      <w:r>
        <w:rPr>
          <w:rFonts w:hint="eastAsia" w:ascii="仿宋" w:hAnsi="仿宋" w:eastAsia="仿宋"/>
          <w:sz w:val="28"/>
          <w:szCs w:val="28"/>
        </w:rPr>
        <w:t>类论文：</w:t>
      </w:r>
      <w:r>
        <w:rPr>
          <w:rFonts w:ascii="仿宋" w:hAnsi="仿宋" w:eastAsia="仿宋"/>
          <w:sz w:val="28"/>
          <w:szCs w:val="28"/>
        </w:rPr>
        <w:t>SCI</w:t>
      </w:r>
      <w:r>
        <w:rPr>
          <w:rFonts w:hint="eastAsia" w:ascii="仿宋" w:hAnsi="仿宋" w:eastAsia="仿宋"/>
          <w:sz w:val="28"/>
          <w:szCs w:val="28"/>
        </w:rPr>
        <w:t>一区论文；</w:t>
      </w:r>
      <w:r>
        <w:rPr>
          <w:rFonts w:ascii="仿宋" w:hAnsi="仿宋" w:eastAsia="仿宋"/>
          <w:sz w:val="28"/>
          <w:szCs w:val="28"/>
        </w:rPr>
        <w:t xml:space="preserve">SSCI </w:t>
      </w:r>
      <w:r>
        <w:rPr>
          <w:rFonts w:hint="eastAsia" w:ascii="仿宋" w:hAnsi="仿宋" w:eastAsia="仿宋"/>
          <w:sz w:val="28"/>
          <w:szCs w:val="28"/>
        </w:rPr>
        <w:t>一区论文；</w:t>
      </w:r>
    </w:p>
    <w:p>
      <w:pPr>
        <w:overflowPunct w:val="0"/>
        <w:spacing w:before="156" w:beforeLines="50" w:after="156" w:afterLines="50" w:line="440" w:lineRule="exact"/>
        <w:ind w:firstLine="560" w:firstLineChars="200"/>
        <w:rPr>
          <w:rFonts w:ascii="仿宋" w:hAnsi="仿宋" w:eastAsia="仿宋"/>
          <w:sz w:val="28"/>
          <w:szCs w:val="28"/>
        </w:rPr>
      </w:pPr>
      <w:r>
        <w:rPr>
          <w:rFonts w:ascii="仿宋" w:hAnsi="仿宋" w:eastAsia="仿宋"/>
          <w:sz w:val="28"/>
          <w:szCs w:val="28"/>
        </w:rPr>
        <w:t>A4</w:t>
      </w:r>
      <w:r>
        <w:rPr>
          <w:rFonts w:hint="eastAsia" w:ascii="仿宋" w:hAnsi="仿宋" w:eastAsia="仿宋"/>
          <w:sz w:val="28"/>
          <w:szCs w:val="28"/>
        </w:rPr>
        <w:t>类论文：</w:t>
      </w:r>
      <w:r>
        <w:rPr>
          <w:rFonts w:ascii="仿宋" w:hAnsi="仿宋" w:eastAsia="仿宋"/>
          <w:sz w:val="28"/>
          <w:szCs w:val="28"/>
        </w:rPr>
        <w:t xml:space="preserve">SCI </w:t>
      </w:r>
      <w:r>
        <w:rPr>
          <w:rFonts w:hint="eastAsia" w:ascii="仿宋" w:hAnsi="仿宋" w:eastAsia="仿宋"/>
          <w:sz w:val="28"/>
          <w:szCs w:val="28"/>
        </w:rPr>
        <w:t>二区论文；</w:t>
      </w:r>
      <w:r>
        <w:rPr>
          <w:rFonts w:ascii="仿宋" w:hAnsi="仿宋" w:eastAsia="仿宋"/>
          <w:sz w:val="28"/>
          <w:szCs w:val="28"/>
        </w:rPr>
        <w:t xml:space="preserve">SSCI </w:t>
      </w:r>
      <w:r>
        <w:rPr>
          <w:rFonts w:hint="eastAsia" w:ascii="仿宋" w:hAnsi="仿宋" w:eastAsia="仿宋"/>
          <w:sz w:val="28"/>
          <w:szCs w:val="28"/>
        </w:rPr>
        <w:t>二区论文；</w:t>
      </w:r>
      <w:r>
        <w:rPr>
          <w:rFonts w:ascii="仿宋" w:hAnsi="仿宋" w:eastAsia="仿宋"/>
          <w:sz w:val="28"/>
          <w:szCs w:val="28"/>
        </w:rPr>
        <w:t>A&amp;HCL</w:t>
      </w:r>
      <w:r>
        <w:rPr>
          <w:rFonts w:hint="eastAsia" w:ascii="仿宋" w:hAnsi="仿宋" w:eastAsia="仿宋"/>
          <w:sz w:val="28"/>
          <w:szCs w:val="28"/>
        </w:rPr>
        <w:t>论文；</w:t>
      </w:r>
    </w:p>
    <w:p>
      <w:pPr>
        <w:overflowPunct w:val="0"/>
        <w:spacing w:before="156" w:beforeLines="50" w:after="156" w:afterLines="50" w:line="440" w:lineRule="exact"/>
        <w:ind w:firstLine="560" w:firstLineChars="200"/>
        <w:rPr>
          <w:rFonts w:ascii="仿宋" w:hAnsi="仿宋" w:eastAsia="仿宋"/>
          <w:sz w:val="28"/>
          <w:szCs w:val="28"/>
        </w:rPr>
      </w:pPr>
      <w:r>
        <w:rPr>
          <w:rFonts w:ascii="仿宋" w:hAnsi="仿宋" w:eastAsia="仿宋"/>
          <w:sz w:val="28"/>
          <w:szCs w:val="28"/>
        </w:rPr>
        <w:t>A5</w:t>
      </w:r>
      <w:r>
        <w:rPr>
          <w:rFonts w:hint="eastAsia" w:ascii="仿宋" w:hAnsi="仿宋" w:eastAsia="仿宋"/>
          <w:sz w:val="28"/>
          <w:szCs w:val="28"/>
        </w:rPr>
        <w:t>类论文：</w:t>
      </w:r>
      <w:r>
        <w:rPr>
          <w:rFonts w:ascii="仿宋" w:hAnsi="仿宋" w:eastAsia="仿宋"/>
          <w:sz w:val="28"/>
          <w:szCs w:val="28"/>
        </w:rPr>
        <w:t xml:space="preserve">SCI </w:t>
      </w:r>
      <w:r>
        <w:rPr>
          <w:rFonts w:hint="eastAsia" w:ascii="仿宋" w:hAnsi="仿宋" w:eastAsia="仿宋"/>
          <w:sz w:val="28"/>
          <w:szCs w:val="28"/>
        </w:rPr>
        <w:t>三区论文；</w:t>
      </w:r>
      <w:r>
        <w:rPr>
          <w:rFonts w:ascii="仿宋" w:hAnsi="仿宋" w:eastAsia="仿宋"/>
          <w:sz w:val="28"/>
          <w:szCs w:val="28"/>
        </w:rPr>
        <w:t xml:space="preserve">SSCI </w:t>
      </w:r>
      <w:r>
        <w:rPr>
          <w:rFonts w:hint="eastAsia" w:ascii="仿宋" w:hAnsi="仿宋" w:eastAsia="仿宋"/>
          <w:sz w:val="28"/>
          <w:szCs w:val="28"/>
        </w:rPr>
        <w:t>三区论文；</w:t>
      </w:r>
      <w:r>
        <w:rPr>
          <w:rFonts w:ascii="仿宋" w:hAnsi="仿宋" w:eastAsia="仿宋"/>
          <w:sz w:val="28"/>
          <w:szCs w:val="28"/>
        </w:rPr>
        <w:t xml:space="preserve">CSSCI </w:t>
      </w:r>
      <w:r>
        <w:rPr>
          <w:rFonts w:hint="eastAsia" w:ascii="仿宋" w:hAnsi="仿宋" w:eastAsia="仿宋"/>
          <w:sz w:val="28"/>
          <w:szCs w:val="28"/>
        </w:rPr>
        <w:t>来源期刊学科排名位列</w:t>
      </w:r>
      <w:r>
        <w:rPr>
          <w:rFonts w:ascii="仿宋" w:hAnsi="仿宋" w:eastAsia="仿宋"/>
          <w:sz w:val="28"/>
          <w:szCs w:val="28"/>
        </w:rPr>
        <w:t>15%-30%</w:t>
      </w:r>
      <w:r>
        <w:rPr>
          <w:rFonts w:hint="eastAsia" w:ascii="仿宋" w:hAnsi="仿宋" w:eastAsia="仿宋"/>
          <w:sz w:val="28"/>
          <w:szCs w:val="28"/>
        </w:rPr>
        <w:t>的期刊上的论文；</w:t>
      </w:r>
    </w:p>
    <w:p>
      <w:pPr>
        <w:overflowPunct w:val="0"/>
        <w:spacing w:before="156" w:beforeLines="50" w:after="156" w:afterLines="50" w:line="440" w:lineRule="exact"/>
        <w:ind w:firstLine="560" w:firstLineChars="200"/>
        <w:rPr>
          <w:rFonts w:ascii="仿宋" w:hAnsi="仿宋" w:eastAsia="仿宋"/>
          <w:sz w:val="28"/>
          <w:szCs w:val="28"/>
        </w:rPr>
      </w:pPr>
      <w:r>
        <w:rPr>
          <w:rFonts w:ascii="仿宋" w:hAnsi="仿宋" w:eastAsia="仿宋"/>
          <w:sz w:val="28"/>
          <w:szCs w:val="28"/>
        </w:rPr>
        <w:t xml:space="preserve">A6 </w:t>
      </w:r>
      <w:r>
        <w:rPr>
          <w:rFonts w:hint="eastAsia" w:ascii="仿宋" w:hAnsi="仿宋" w:eastAsia="仿宋"/>
          <w:sz w:val="28"/>
          <w:szCs w:val="28"/>
        </w:rPr>
        <w:t>类论文：</w:t>
      </w:r>
      <w:r>
        <w:rPr>
          <w:rFonts w:ascii="仿宋" w:hAnsi="仿宋" w:eastAsia="仿宋"/>
          <w:sz w:val="28"/>
          <w:szCs w:val="28"/>
        </w:rPr>
        <w:t xml:space="preserve">SCI </w:t>
      </w:r>
      <w:r>
        <w:rPr>
          <w:rFonts w:hint="eastAsia" w:ascii="仿宋" w:hAnsi="仿宋" w:eastAsia="仿宋"/>
          <w:sz w:val="28"/>
          <w:szCs w:val="28"/>
        </w:rPr>
        <w:t>四区论文及其他</w:t>
      </w:r>
      <w:r>
        <w:rPr>
          <w:rFonts w:ascii="仿宋" w:hAnsi="仿宋" w:eastAsia="仿宋"/>
          <w:sz w:val="28"/>
          <w:szCs w:val="28"/>
        </w:rPr>
        <w:t xml:space="preserve">SCI </w:t>
      </w:r>
      <w:r>
        <w:rPr>
          <w:rFonts w:hint="eastAsia" w:ascii="仿宋" w:hAnsi="仿宋" w:eastAsia="仿宋"/>
          <w:sz w:val="28"/>
          <w:szCs w:val="28"/>
        </w:rPr>
        <w:t>论文；</w:t>
      </w:r>
      <w:r>
        <w:rPr>
          <w:rFonts w:ascii="仿宋" w:hAnsi="仿宋" w:eastAsia="仿宋"/>
          <w:sz w:val="28"/>
          <w:szCs w:val="28"/>
        </w:rPr>
        <w:t>SSCI</w:t>
      </w:r>
      <w:r>
        <w:rPr>
          <w:rFonts w:hint="eastAsia" w:ascii="仿宋" w:hAnsi="仿宋" w:eastAsia="仿宋"/>
          <w:sz w:val="28"/>
          <w:szCs w:val="28"/>
        </w:rPr>
        <w:t>四区论文及其他</w:t>
      </w:r>
      <w:r>
        <w:rPr>
          <w:rFonts w:ascii="仿宋" w:hAnsi="仿宋" w:eastAsia="仿宋"/>
          <w:sz w:val="28"/>
          <w:szCs w:val="28"/>
        </w:rPr>
        <w:t>SSCI</w:t>
      </w:r>
      <w:r>
        <w:rPr>
          <w:rFonts w:hint="eastAsia" w:ascii="仿宋" w:hAnsi="仿宋" w:eastAsia="仿宋"/>
          <w:sz w:val="28"/>
          <w:szCs w:val="28"/>
        </w:rPr>
        <w:t>；</w:t>
      </w:r>
    </w:p>
    <w:p>
      <w:pPr>
        <w:overflowPunct w:val="0"/>
        <w:spacing w:before="156" w:beforeLines="50" w:after="156" w:afterLines="50" w:line="440" w:lineRule="exact"/>
        <w:ind w:firstLine="560" w:firstLineChars="200"/>
        <w:rPr>
          <w:rFonts w:ascii="仿宋" w:hAnsi="仿宋" w:eastAsia="仿宋"/>
          <w:sz w:val="28"/>
          <w:szCs w:val="28"/>
        </w:rPr>
      </w:pPr>
      <w:r>
        <w:rPr>
          <w:rFonts w:ascii="仿宋" w:hAnsi="仿宋" w:eastAsia="仿宋"/>
          <w:sz w:val="28"/>
          <w:szCs w:val="28"/>
        </w:rPr>
        <w:t>B</w:t>
      </w:r>
      <w:r>
        <w:rPr>
          <w:rFonts w:hint="eastAsia" w:ascii="仿宋" w:hAnsi="仿宋" w:eastAsia="仿宋"/>
          <w:sz w:val="28"/>
          <w:szCs w:val="28"/>
        </w:rPr>
        <w:t>类论文：被</w:t>
      </w:r>
      <w:r>
        <w:rPr>
          <w:rFonts w:ascii="仿宋" w:hAnsi="仿宋" w:eastAsia="仿宋"/>
          <w:sz w:val="28"/>
          <w:szCs w:val="28"/>
        </w:rPr>
        <w:t>EI</w:t>
      </w:r>
      <w:r>
        <w:rPr>
          <w:rFonts w:hint="eastAsia" w:ascii="仿宋" w:hAnsi="仿宋" w:eastAsia="仿宋"/>
          <w:sz w:val="28"/>
          <w:szCs w:val="28"/>
        </w:rPr>
        <w:t>收录的期刊论文；</w:t>
      </w:r>
    </w:p>
    <w:p>
      <w:pPr>
        <w:overflowPunct w:val="0"/>
        <w:spacing w:before="156" w:beforeLines="50" w:after="156" w:afterLines="50" w:line="440" w:lineRule="exact"/>
        <w:ind w:firstLine="560" w:firstLineChars="200"/>
        <w:rPr>
          <w:rFonts w:ascii="仿宋" w:hAnsi="仿宋" w:eastAsia="仿宋"/>
          <w:sz w:val="28"/>
          <w:szCs w:val="28"/>
        </w:rPr>
      </w:pPr>
      <w:r>
        <w:rPr>
          <w:rFonts w:ascii="仿宋" w:hAnsi="仿宋" w:eastAsia="仿宋"/>
          <w:sz w:val="28"/>
          <w:szCs w:val="28"/>
        </w:rPr>
        <w:t>C</w:t>
      </w:r>
      <w:r>
        <w:rPr>
          <w:rFonts w:hint="eastAsia" w:ascii="仿宋" w:hAnsi="仿宋" w:eastAsia="仿宋"/>
          <w:sz w:val="28"/>
          <w:szCs w:val="28"/>
        </w:rPr>
        <w:t>类论文：在学校认定的国家一级学会主办的权威学术期刊上发表的论文；</w:t>
      </w:r>
    </w:p>
    <w:p>
      <w:pPr>
        <w:overflowPunct w:val="0"/>
        <w:spacing w:before="156" w:beforeLines="50" w:after="156" w:afterLines="50" w:line="440" w:lineRule="exact"/>
        <w:ind w:firstLine="560" w:firstLineChars="200"/>
        <w:rPr>
          <w:rFonts w:ascii="仿宋" w:hAnsi="仿宋" w:eastAsia="仿宋"/>
          <w:sz w:val="28"/>
          <w:szCs w:val="28"/>
        </w:rPr>
      </w:pPr>
      <w:r>
        <w:rPr>
          <w:rFonts w:ascii="仿宋" w:hAnsi="仿宋" w:eastAsia="仿宋"/>
          <w:sz w:val="28"/>
          <w:szCs w:val="28"/>
        </w:rPr>
        <w:t>D</w:t>
      </w:r>
      <w:r>
        <w:rPr>
          <w:rFonts w:hint="eastAsia" w:ascii="仿宋" w:hAnsi="仿宋" w:eastAsia="仿宋"/>
          <w:sz w:val="28"/>
          <w:szCs w:val="28"/>
        </w:rPr>
        <w:t>类论文：在全国中文核心期刊上发表的论文；</w:t>
      </w:r>
    </w:p>
    <w:p>
      <w:pPr>
        <w:overflowPunct w:val="0"/>
        <w:spacing w:before="156" w:beforeLines="50" w:after="156" w:afterLines="50" w:line="440" w:lineRule="exact"/>
        <w:ind w:firstLine="560" w:firstLineChars="200"/>
        <w:rPr>
          <w:rFonts w:ascii="仿宋" w:hAnsi="仿宋" w:eastAsia="仿宋"/>
          <w:sz w:val="28"/>
          <w:szCs w:val="28"/>
        </w:rPr>
      </w:pPr>
      <w:r>
        <w:rPr>
          <w:rFonts w:ascii="仿宋" w:hAnsi="仿宋" w:eastAsia="仿宋"/>
          <w:sz w:val="28"/>
          <w:szCs w:val="28"/>
        </w:rPr>
        <w:t>E</w:t>
      </w:r>
      <w:r>
        <w:rPr>
          <w:rFonts w:hint="eastAsia" w:ascii="仿宋" w:hAnsi="仿宋" w:eastAsia="仿宋"/>
          <w:sz w:val="28"/>
          <w:szCs w:val="28"/>
        </w:rPr>
        <w:t>类论文：在中国科技核心期刊；被</w:t>
      </w:r>
      <w:r>
        <w:rPr>
          <w:rFonts w:ascii="仿宋" w:hAnsi="仿宋" w:eastAsia="仿宋"/>
          <w:sz w:val="28"/>
          <w:szCs w:val="28"/>
        </w:rPr>
        <w:t xml:space="preserve">ISTP </w:t>
      </w:r>
      <w:r>
        <w:rPr>
          <w:rFonts w:hint="eastAsia" w:ascii="仿宋" w:hAnsi="仿宋" w:eastAsia="仿宋"/>
          <w:sz w:val="28"/>
          <w:szCs w:val="28"/>
        </w:rPr>
        <w:t>、</w:t>
      </w:r>
      <w:r>
        <w:rPr>
          <w:rFonts w:ascii="仿宋" w:hAnsi="仿宋" w:eastAsia="仿宋"/>
          <w:sz w:val="28"/>
          <w:szCs w:val="28"/>
        </w:rPr>
        <w:t xml:space="preserve">ISSHP </w:t>
      </w:r>
      <w:r>
        <w:rPr>
          <w:rFonts w:hint="eastAsia" w:ascii="仿宋" w:hAnsi="仿宋" w:eastAsia="仿宋"/>
          <w:sz w:val="28"/>
          <w:szCs w:val="28"/>
        </w:rPr>
        <w:t>、</w:t>
      </w:r>
      <w:r>
        <w:rPr>
          <w:rFonts w:ascii="仿宋" w:hAnsi="仿宋" w:eastAsia="仿宋"/>
          <w:sz w:val="28"/>
          <w:szCs w:val="28"/>
        </w:rPr>
        <w:t xml:space="preserve">EI </w:t>
      </w:r>
      <w:r>
        <w:rPr>
          <w:rFonts w:hint="eastAsia" w:ascii="仿宋" w:hAnsi="仿宋" w:eastAsia="仿宋"/>
          <w:sz w:val="28"/>
          <w:szCs w:val="28"/>
        </w:rPr>
        <w:t>收录的会议论文；</w:t>
      </w:r>
    </w:p>
    <w:p>
      <w:pPr>
        <w:overflowPunct w:val="0"/>
        <w:spacing w:before="156" w:beforeLines="50" w:after="156" w:afterLines="50" w:line="440" w:lineRule="exact"/>
        <w:ind w:firstLine="560" w:firstLineChars="200"/>
        <w:rPr>
          <w:rFonts w:ascii="仿宋" w:hAnsi="仿宋" w:eastAsia="仿宋"/>
          <w:sz w:val="28"/>
          <w:szCs w:val="28"/>
        </w:rPr>
      </w:pPr>
      <w:r>
        <w:rPr>
          <w:rFonts w:ascii="仿宋" w:hAnsi="仿宋" w:eastAsia="仿宋"/>
          <w:sz w:val="28"/>
          <w:szCs w:val="28"/>
        </w:rPr>
        <w:t>F</w:t>
      </w:r>
      <w:r>
        <w:rPr>
          <w:rFonts w:hint="eastAsia" w:ascii="仿宋" w:hAnsi="仿宋" w:eastAsia="仿宋"/>
          <w:sz w:val="28"/>
          <w:szCs w:val="28"/>
        </w:rPr>
        <w:t>类论文：一般学术期刊上发表的论文。</w:t>
      </w:r>
    </w:p>
    <w:p>
      <w:pPr>
        <w:overflowPunct w:val="0"/>
        <w:spacing w:before="156" w:beforeLines="50" w:after="156" w:afterLines="50" w:line="440" w:lineRule="exact"/>
        <w:ind w:firstLine="560" w:firstLineChars="200"/>
        <w:rPr>
          <w:rFonts w:ascii="仿宋" w:hAnsi="仿宋" w:eastAsia="仿宋"/>
          <w:sz w:val="28"/>
          <w:szCs w:val="28"/>
        </w:rPr>
      </w:pPr>
      <w:r>
        <w:rPr>
          <w:rFonts w:ascii="仿宋" w:hAnsi="仿宋" w:eastAsia="仿宋"/>
          <w:sz w:val="28"/>
          <w:szCs w:val="28"/>
        </w:rPr>
        <w:t>一类、二类、三类竞赛的说明参见</w:t>
      </w:r>
      <w:r>
        <w:rPr>
          <w:rFonts w:hint="eastAsia" w:ascii="仿宋" w:hAnsi="仿宋" w:eastAsia="仿宋"/>
          <w:sz w:val="28"/>
          <w:szCs w:val="28"/>
        </w:rPr>
        <w:t>《青岛农业大学专业技术职务评价实施办法（暂行）》的通知（青农大校字（2</w:t>
      </w:r>
      <w:r>
        <w:rPr>
          <w:rFonts w:ascii="仿宋" w:hAnsi="仿宋" w:eastAsia="仿宋"/>
          <w:sz w:val="28"/>
          <w:szCs w:val="28"/>
        </w:rPr>
        <w:t>018</w:t>
      </w:r>
      <w:r>
        <w:rPr>
          <w:rFonts w:hint="eastAsia" w:ascii="仿宋" w:hAnsi="仿宋" w:eastAsia="仿宋"/>
          <w:sz w:val="28"/>
          <w:szCs w:val="28"/>
        </w:rPr>
        <w:t>）2</w:t>
      </w:r>
      <w:r>
        <w:rPr>
          <w:rFonts w:ascii="仿宋" w:hAnsi="仿宋" w:eastAsia="仿宋"/>
          <w:sz w:val="28"/>
          <w:szCs w:val="28"/>
        </w:rPr>
        <w:t>2号</w:t>
      </w:r>
      <w:r>
        <w:rPr>
          <w:rFonts w:hint="eastAsia" w:ascii="仿宋" w:hAnsi="仿宋" w:eastAsia="仿宋"/>
          <w:sz w:val="28"/>
          <w:szCs w:val="28"/>
        </w:rPr>
        <w:t>）。</w:t>
      </w:r>
    </w:p>
    <w:p>
      <w:pPr>
        <w:overflowPunct w:val="0"/>
        <w:spacing w:before="312" w:beforeLines="100" w:after="312" w:afterLines="100" w:line="440" w:lineRule="exact"/>
        <w:jc w:val="center"/>
        <w:rPr>
          <w:rFonts w:ascii="黑体" w:hAnsi="黑体" w:eastAsia="黑体"/>
          <w:b/>
          <w:sz w:val="32"/>
          <w:szCs w:val="32"/>
        </w:rPr>
      </w:pPr>
      <w:r>
        <w:rPr>
          <w:rFonts w:hint="eastAsia" w:ascii="黑体" w:hAnsi="黑体" w:eastAsia="黑体"/>
          <w:b/>
          <w:sz w:val="32"/>
          <w:szCs w:val="32"/>
        </w:rPr>
        <w:t>第四章</w:t>
      </w:r>
      <w:r>
        <w:rPr>
          <w:rFonts w:ascii="黑体" w:hAnsi="黑体" w:eastAsia="黑体"/>
          <w:b/>
          <w:sz w:val="32"/>
          <w:szCs w:val="32"/>
        </w:rPr>
        <w:t xml:space="preserve"> </w:t>
      </w:r>
      <w:r>
        <w:rPr>
          <w:rFonts w:hint="eastAsia" w:ascii="黑体" w:hAnsi="黑体" w:eastAsia="黑体"/>
          <w:b/>
          <w:sz w:val="32"/>
          <w:szCs w:val="32"/>
        </w:rPr>
        <w:t>评审组织</w:t>
      </w:r>
    </w:p>
    <w:p>
      <w:pPr>
        <w:overflowPunct w:val="0"/>
        <w:adjustRightInd w:val="0"/>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第八条</w:t>
      </w:r>
      <w:r>
        <w:rPr>
          <w:rFonts w:ascii="仿宋" w:hAnsi="仿宋" w:eastAsia="仿宋"/>
          <w:sz w:val="32"/>
          <w:szCs w:val="32"/>
        </w:rPr>
        <w:t xml:space="preserve"> </w:t>
      </w:r>
      <w:r>
        <w:rPr>
          <w:rFonts w:hint="eastAsia" w:ascii="仿宋" w:hAnsi="仿宋" w:eastAsia="仿宋"/>
          <w:sz w:val="32"/>
          <w:szCs w:val="32"/>
        </w:rPr>
        <w:t>学院成立国家奖学金评审委员会，由学院院长任主任，学院党政领导、学术委员会成员、研究生管理人员、导师及研究生代表任委员，负责学院研究生国家奖学金的申请组织、初步评审等工作。</w:t>
      </w:r>
    </w:p>
    <w:p>
      <w:pPr>
        <w:overflowPunct w:val="0"/>
        <w:adjustRightInd w:val="0"/>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第九条</w:t>
      </w:r>
      <w:r>
        <w:rPr>
          <w:rFonts w:hint="eastAsia" w:ascii="仿宋" w:hAnsi="仿宋" w:eastAsia="仿宋"/>
          <w:sz w:val="32"/>
          <w:szCs w:val="32"/>
        </w:rPr>
        <w:t xml:space="preserve"> 评审组织原则：</w:t>
      </w:r>
    </w:p>
    <w:p>
      <w:pPr>
        <w:overflowPunct w:val="0"/>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1、参加会议的评审委员人数为单数；</w:t>
      </w:r>
    </w:p>
    <w:p>
      <w:pPr>
        <w:overflowPunct w:val="0"/>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2、属于参评研究生的导师或者直系亲属的，不得参与国家奖学金评审工作。</w:t>
      </w:r>
    </w:p>
    <w:p>
      <w:pPr>
        <w:overflowPunct w:val="0"/>
        <w:spacing w:before="312" w:beforeLines="100" w:after="312" w:afterLines="100" w:line="440" w:lineRule="exact"/>
        <w:jc w:val="center"/>
        <w:rPr>
          <w:rFonts w:ascii="黑体" w:hAnsi="黑体" w:eastAsia="黑体"/>
          <w:b/>
          <w:sz w:val="32"/>
          <w:szCs w:val="32"/>
        </w:rPr>
      </w:pPr>
      <w:r>
        <w:rPr>
          <w:rFonts w:hint="eastAsia" w:ascii="黑体" w:hAnsi="黑体" w:eastAsia="黑体"/>
          <w:b/>
          <w:sz w:val="32"/>
          <w:szCs w:val="32"/>
        </w:rPr>
        <w:t>第五章</w:t>
      </w:r>
      <w:r>
        <w:rPr>
          <w:rFonts w:ascii="黑体" w:hAnsi="黑体" w:eastAsia="黑体"/>
          <w:b/>
          <w:sz w:val="32"/>
          <w:szCs w:val="32"/>
        </w:rPr>
        <w:t xml:space="preserve"> </w:t>
      </w:r>
      <w:r>
        <w:rPr>
          <w:rFonts w:hint="eastAsia" w:ascii="黑体" w:hAnsi="黑体" w:eastAsia="黑体"/>
          <w:b/>
          <w:sz w:val="32"/>
          <w:szCs w:val="32"/>
        </w:rPr>
        <w:t>评审程序</w:t>
      </w:r>
    </w:p>
    <w:p>
      <w:pPr>
        <w:overflowPunct w:val="0"/>
        <w:adjustRightInd w:val="0"/>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第十条</w:t>
      </w:r>
      <w:r>
        <w:rPr>
          <w:rFonts w:ascii="仿宋" w:hAnsi="仿宋" w:eastAsia="仿宋"/>
          <w:sz w:val="32"/>
          <w:szCs w:val="32"/>
        </w:rPr>
        <w:t xml:space="preserve"> </w:t>
      </w:r>
      <w:r>
        <w:rPr>
          <w:rFonts w:hint="eastAsia" w:ascii="仿宋" w:hAnsi="仿宋" w:eastAsia="仿宋"/>
          <w:sz w:val="32"/>
          <w:szCs w:val="32"/>
        </w:rPr>
        <w:t>学院研究生国家奖学金评审程序如下：</w:t>
      </w:r>
    </w:p>
    <w:p>
      <w:pPr>
        <w:overflowPunct w:val="0"/>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、个人申请：由本人如实填写《研究生国家奖学金申请审批表》，向学院评审委员会提出申请。</w:t>
      </w:r>
    </w:p>
    <w:p>
      <w:pPr>
        <w:overflowPunct w:val="0"/>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、组织初审：学院评审委员会主任负责组织委员会成员对申请国家奖学金的学生进行初审。</w:t>
      </w:r>
    </w:p>
    <w:p>
      <w:pPr>
        <w:overflowPunct w:val="0"/>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3、进行公示：学院评审委员会确定获奖学生名单后，应在学院内进行公示。</w:t>
      </w:r>
    </w:p>
    <w:p>
      <w:pPr>
        <w:overflowPunct w:val="0"/>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、提交审定：公示无异议后，提交校研究生国家奖学金评审领导小组进行审定。</w:t>
      </w:r>
    </w:p>
    <w:p>
      <w:pPr>
        <w:overflowPunct w:val="0"/>
        <w:adjustRightInd w:val="0"/>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第十一条</w:t>
      </w:r>
      <w:r>
        <w:rPr>
          <w:rFonts w:ascii="仿宋" w:hAnsi="仿宋" w:eastAsia="仿宋"/>
          <w:sz w:val="32"/>
          <w:szCs w:val="32"/>
        </w:rPr>
        <w:t xml:space="preserve"> </w:t>
      </w:r>
      <w:r>
        <w:rPr>
          <w:rFonts w:hint="eastAsia" w:ascii="仿宋" w:hAnsi="仿宋" w:eastAsia="仿宋"/>
          <w:sz w:val="32"/>
          <w:szCs w:val="32"/>
        </w:rPr>
        <w:t>研究生国家奖学金的评审工作，坚持公开、公平、公正、择优的原则，严格执行国家有关教育法规，杜绝弄虚作假。</w:t>
      </w:r>
    </w:p>
    <w:p>
      <w:pPr>
        <w:overflowPunct w:val="0"/>
        <w:adjustRightInd w:val="0"/>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第十二条</w:t>
      </w:r>
      <w:r>
        <w:rPr>
          <w:rFonts w:ascii="仿宋" w:hAnsi="仿宋" w:eastAsia="仿宋"/>
          <w:sz w:val="32"/>
          <w:szCs w:val="32"/>
        </w:rPr>
        <w:t xml:space="preserve"> </w:t>
      </w:r>
      <w:r>
        <w:rPr>
          <w:rFonts w:hint="eastAsia" w:ascii="仿宋" w:hAnsi="仿宋" w:eastAsia="仿宋"/>
          <w:sz w:val="32"/>
          <w:szCs w:val="32"/>
        </w:rPr>
        <w:t>对研究生国家奖学金评审结果有异议的学生，可在公示阶段向学院评审委员会提出申诉，评审委员会将在</w:t>
      </w:r>
      <w:r>
        <w:rPr>
          <w:rFonts w:ascii="仿宋" w:hAnsi="仿宋" w:eastAsia="仿宋"/>
          <w:sz w:val="32"/>
          <w:szCs w:val="32"/>
        </w:rPr>
        <w:t>3</w:t>
      </w:r>
      <w:r>
        <w:rPr>
          <w:rFonts w:hint="eastAsia" w:ascii="仿宋" w:hAnsi="仿宋" w:eastAsia="仿宋"/>
          <w:sz w:val="32"/>
          <w:szCs w:val="32"/>
        </w:rPr>
        <w:t>个工作日内研究并予以答复。如学生对学院作出的答复仍存在异议，可在学校公示阶段向校研究生国家奖学金评审领导小组提请裁决。</w:t>
      </w:r>
    </w:p>
    <w:p>
      <w:pPr>
        <w:overflowPunct w:val="0"/>
        <w:adjustRightInd w:val="0"/>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第十三条</w:t>
      </w:r>
      <w:r>
        <w:rPr>
          <w:rFonts w:hint="eastAsia" w:ascii="仿宋" w:hAnsi="仿宋" w:eastAsia="仿宋"/>
          <w:sz w:val="32"/>
          <w:szCs w:val="32"/>
        </w:rPr>
        <w:t xml:space="preserve"> 学院评审工作结束后，应按要求及时将相关评审材料送交至学校评审委员会，并做好相关材料的整理归档。</w:t>
      </w:r>
    </w:p>
    <w:p>
      <w:pPr>
        <w:overflowPunct w:val="0"/>
        <w:spacing w:before="312" w:beforeLines="100" w:after="312" w:afterLines="100" w:line="440" w:lineRule="exact"/>
        <w:jc w:val="center"/>
        <w:rPr>
          <w:rFonts w:ascii="黑体" w:hAnsi="黑体" w:eastAsia="黑体"/>
          <w:b/>
          <w:sz w:val="32"/>
          <w:szCs w:val="32"/>
        </w:rPr>
      </w:pPr>
      <w:r>
        <w:rPr>
          <w:rFonts w:hint="eastAsia" w:ascii="黑体" w:hAnsi="黑体" w:eastAsia="黑体"/>
          <w:b/>
          <w:sz w:val="32"/>
          <w:szCs w:val="32"/>
        </w:rPr>
        <w:t>第六章</w:t>
      </w:r>
      <w:r>
        <w:rPr>
          <w:rFonts w:ascii="黑体" w:hAnsi="黑体" w:eastAsia="黑体"/>
          <w:b/>
          <w:sz w:val="32"/>
          <w:szCs w:val="32"/>
        </w:rPr>
        <w:t xml:space="preserve"> </w:t>
      </w:r>
      <w:r>
        <w:rPr>
          <w:rFonts w:hint="eastAsia" w:ascii="黑体" w:hAnsi="黑体" w:eastAsia="黑体"/>
          <w:b/>
          <w:sz w:val="32"/>
          <w:szCs w:val="32"/>
        </w:rPr>
        <w:t>资金监督</w:t>
      </w:r>
    </w:p>
    <w:p>
      <w:pPr>
        <w:overflowPunct w:val="0"/>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第十四条</w:t>
      </w:r>
      <w:r>
        <w:rPr>
          <w:rFonts w:ascii="仿宋" w:hAnsi="仿宋" w:eastAsia="仿宋"/>
          <w:sz w:val="32"/>
          <w:szCs w:val="32"/>
        </w:rPr>
        <w:t xml:space="preserve"> </w:t>
      </w:r>
      <w:r>
        <w:rPr>
          <w:rFonts w:hint="eastAsia" w:ascii="仿宋" w:hAnsi="仿宋" w:eastAsia="仿宋"/>
          <w:sz w:val="32"/>
          <w:szCs w:val="32"/>
        </w:rPr>
        <w:t>研究生国家奖学金不得截留、挤占、挪用，并接受学校有关部门和学院师生监督。</w:t>
      </w:r>
    </w:p>
    <w:p>
      <w:pPr>
        <w:overflowPunct w:val="0"/>
        <w:spacing w:line="440" w:lineRule="exact"/>
        <w:ind w:firstLine="560" w:firstLineChars="200"/>
        <w:rPr>
          <w:rFonts w:ascii="仿宋" w:hAnsi="仿宋" w:eastAsia="仿宋"/>
          <w:sz w:val="28"/>
          <w:szCs w:val="28"/>
        </w:rPr>
      </w:pPr>
    </w:p>
    <w:p>
      <w:pPr>
        <w:overflowPunct w:val="0"/>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本细则自公布之日起施行。</w:t>
      </w:r>
    </w:p>
    <w:p>
      <w:pPr>
        <w:overflowPunct w:val="0"/>
        <w:adjustRightInd w:val="0"/>
        <w:snapToGrid w:val="0"/>
        <w:spacing w:line="360" w:lineRule="auto"/>
        <w:ind w:firstLine="640" w:firstLineChars="200"/>
        <w:rPr>
          <w:rFonts w:ascii="仿宋" w:hAnsi="仿宋" w:eastAsia="仿宋"/>
          <w:sz w:val="32"/>
          <w:szCs w:val="32"/>
        </w:rPr>
      </w:pPr>
    </w:p>
    <w:p>
      <w:pPr>
        <w:overflowPunct w:val="0"/>
        <w:adjustRightInd w:val="0"/>
        <w:snapToGrid w:val="0"/>
        <w:spacing w:line="360" w:lineRule="auto"/>
        <w:ind w:firstLine="640" w:firstLineChars="200"/>
        <w:jc w:val="right"/>
        <w:rPr>
          <w:rFonts w:ascii="仿宋" w:hAnsi="仿宋" w:eastAsia="仿宋"/>
          <w:sz w:val="32"/>
          <w:szCs w:val="32"/>
        </w:rPr>
      </w:pPr>
      <w:r>
        <w:rPr>
          <w:rFonts w:hint="eastAsia" w:ascii="仿宋" w:hAnsi="仿宋" w:eastAsia="仿宋"/>
          <w:sz w:val="32"/>
          <w:szCs w:val="32"/>
        </w:rPr>
        <w:t>化学与药学院</w:t>
      </w:r>
    </w:p>
    <w:p>
      <w:pPr>
        <w:overflowPunct w:val="0"/>
        <w:adjustRightInd w:val="0"/>
        <w:snapToGrid w:val="0"/>
        <w:spacing w:line="360" w:lineRule="auto"/>
        <w:ind w:firstLine="640" w:firstLineChars="200"/>
        <w:jc w:val="right"/>
        <w:rPr>
          <w:rFonts w:ascii="仿宋" w:hAnsi="仿宋" w:eastAsia="仿宋"/>
          <w:sz w:val="32"/>
          <w:szCs w:val="32"/>
        </w:rPr>
      </w:pPr>
      <w:r>
        <w:rPr>
          <w:rFonts w:ascii="仿宋" w:hAnsi="仿宋" w:eastAsia="仿宋"/>
          <w:sz w:val="32"/>
          <w:szCs w:val="32"/>
        </w:rPr>
        <w:t xml:space="preserve">     2018</w:t>
      </w:r>
      <w:r>
        <w:rPr>
          <w:rFonts w:hint="eastAsia" w:ascii="仿宋" w:hAnsi="仿宋" w:eastAsia="仿宋"/>
          <w:sz w:val="32"/>
          <w:szCs w:val="32"/>
        </w:rPr>
        <w:t>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14</w:t>
      </w:r>
      <w:r>
        <w:rPr>
          <w:rFonts w:hint="eastAsia" w:ascii="仿宋" w:hAnsi="仿宋" w:eastAsia="仿宋"/>
          <w:sz w:val="32"/>
          <w:szCs w:val="32"/>
        </w:rPr>
        <w:t>日</w:t>
      </w:r>
    </w:p>
    <w:p>
      <w:pPr>
        <w:overflowPunct w:val="0"/>
        <w:adjustRightInd w:val="0"/>
        <w:snapToGrid w:val="0"/>
        <w:spacing w:line="360" w:lineRule="auto"/>
        <w:ind w:firstLine="640" w:firstLineChars="200"/>
        <w:rPr>
          <w:rFonts w:ascii="仿宋" w:hAnsi="仿宋" w:eastAsia="仿宋"/>
          <w:sz w:val="32"/>
          <w:szCs w:val="32"/>
        </w:rPr>
      </w:pPr>
    </w:p>
    <w:p>
      <w:pPr>
        <w:overflowPunct w:val="0"/>
        <w:adjustRightInd w:val="0"/>
        <w:snapToGrid w:val="0"/>
        <w:spacing w:line="360" w:lineRule="auto"/>
        <w:ind w:firstLine="640" w:firstLineChars="200"/>
        <w:rPr>
          <w:rFonts w:ascii="仿宋" w:hAnsi="仿宋" w:eastAsia="仿宋"/>
          <w:sz w:val="32"/>
          <w:szCs w:val="32"/>
        </w:rPr>
      </w:pPr>
    </w:p>
    <w:p>
      <w:pPr>
        <w:overflowPunct w:val="0"/>
        <w:adjustRightInd w:val="0"/>
        <w:snapToGrid w:val="0"/>
        <w:spacing w:line="360" w:lineRule="auto"/>
        <w:ind w:firstLine="640" w:firstLineChars="200"/>
        <w:rPr>
          <w:rFonts w:ascii="仿宋" w:hAnsi="仿宋" w:eastAsia="仿宋"/>
          <w:sz w:val="32"/>
          <w:szCs w:val="32"/>
        </w:rPr>
      </w:pPr>
    </w:p>
    <w:p>
      <w:pPr>
        <w:overflowPunct w:val="0"/>
        <w:adjustRightInd w:val="0"/>
        <w:snapToGrid w:val="0"/>
        <w:spacing w:line="360" w:lineRule="auto"/>
        <w:rPr>
          <w:rFonts w:ascii="仿宋" w:hAnsi="仿宋" w:eastAsia="仿宋"/>
          <w:sz w:val="32"/>
          <w:szCs w:val="32"/>
        </w:rPr>
      </w:pPr>
      <w:bookmarkStart w:id="1" w:name="_GoBack"/>
      <w:bookmarkEnd w:id="1"/>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E5D"/>
    <w:rsid w:val="000031AD"/>
    <w:rsid w:val="00007C95"/>
    <w:rsid w:val="00013B80"/>
    <w:rsid w:val="00014738"/>
    <w:rsid w:val="00021866"/>
    <w:rsid w:val="00026EC0"/>
    <w:rsid w:val="00027A19"/>
    <w:rsid w:val="00054FB7"/>
    <w:rsid w:val="00067382"/>
    <w:rsid w:val="00070A6B"/>
    <w:rsid w:val="00074043"/>
    <w:rsid w:val="00074C94"/>
    <w:rsid w:val="00074FD4"/>
    <w:rsid w:val="000846A9"/>
    <w:rsid w:val="00085C20"/>
    <w:rsid w:val="000961C5"/>
    <w:rsid w:val="000A0CB0"/>
    <w:rsid w:val="000A146D"/>
    <w:rsid w:val="000A7009"/>
    <w:rsid w:val="000B1A78"/>
    <w:rsid w:val="000C3164"/>
    <w:rsid w:val="000D6B5C"/>
    <w:rsid w:val="000E05CB"/>
    <w:rsid w:val="000E2CA5"/>
    <w:rsid w:val="000E435E"/>
    <w:rsid w:val="000F35D1"/>
    <w:rsid w:val="00100ED9"/>
    <w:rsid w:val="00102AC2"/>
    <w:rsid w:val="00105C63"/>
    <w:rsid w:val="00106A09"/>
    <w:rsid w:val="00113EEA"/>
    <w:rsid w:val="00114978"/>
    <w:rsid w:val="00125633"/>
    <w:rsid w:val="00125A1C"/>
    <w:rsid w:val="0012732E"/>
    <w:rsid w:val="0012798E"/>
    <w:rsid w:val="00131C45"/>
    <w:rsid w:val="001326D2"/>
    <w:rsid w:val="00133BB5"/>
    <w:rsid w:val="001351D0"/>
    <w:rsid w:val="00136963"/>
    <w:rsid w:val="00140A5C"/>
    <w:rsid w:val="001567C6"/>
    <w:rsid w:val="00157DF6"/>
    <w:rsid w:val="001722E3"/>
    <w:rsid w:val="00173BA7"/>
    <w:rsid w:val="00186613"/>
    <w:rsid w:val="001972DB"/>
    <w:rsid w:val="001A07B3"/>
    <w:rsid w:val="001A27A2"/>
    <w:rsid w:val="001A48AE"/>
    <w:rsid w:val="001B6622"/>
    <w:rsid w:val="001C0A4A"/>
    <w:rsid w:val="001C70F9"/>
    <w:rsid w:val="001D2549"/>
    <w:rsid w:val="001D6522"/>
    <w:rsid w:val="001F1A2D"/>
    <w:rsid w:val="00205F85"/>
    <w:rsid w:val="002141EC"/>
    <w:rsid w:val="00217361"/>
    <w:rsid w:val="002642A2"/>
    <w:rsid w:val="00281B88"/>
    <w:rsid w:val="00282E41"/>
    <w:rsid w:val="002939BE"/>
    <w:rsid w:val="002953DC"/>
    <w:rsid w:val="002B1C24"/>
    <w:rsid w:val="002C1CE1"/>
    <w:rsid w:val="002D334E"/>
    <w:rsid w:val="002D44A0"/>
    <w:rsid w:val="002E2E35"/>
    <w:rsid w:val="002F0CA3"/>
    <w:rsid w:val="002F4DD7"/>
    <w:rsid w:val="002F5FB8"/>
    <w:rsid w:val="00311732"/>
    <w:rsid w:val="00313C53"/>
    <w:rsid w:val="00320371"/>
    <w:rsid w:val="0033526D"/>
    <w:rsid w:val="00341904"/>
    <w:rsid w:val="0034462F"/>
    <w:rsid w:val="00352C80"/>
    <w:rsid w:val="003539E0"/>
    <w:rsid w:val="00361A6D"/>
    <w:rsid w:val="00363A99"/>
    <w:rsid w:val="003647F1"/>
    <w:rsid w:val="0036559A"/>
    <w:rsid w:val="00367714"/>
    <w:rsid w:val="00372882"/>
    <w:rsid w:val="00396CEB"/>
    <w:rsid w:val="003A359C"/>
    <w:rsid w:val="003B0249"/>
    <w:rsid w:val="003B11D0"/>
    <w:rsid w:val="003B6BE5"/>
    <w:rsid w:val="003C519F"/>
    <w:rsid w:val="003C6948"/>
    <w:rsid w:val="003C79E8"/>
    <w:rsid w:val="003D1E4E"/>
    <w:rsid w:val="003D5791"/>
    <w:rsid w:val="003D7223"/>
    <w:rsid w:val="003E3FD4"/>
    <w:rsid w:val="003E5221"/>
    <w:rsid w:val="003F2F9E"/>
    <w:rsid w:val="004057A5"/>
    <w:rsid w:val="0041203C"/>
    <w:rsid w:val="00414864"/>
    <w:rsid w:val="00415D54"/>
    <w:rsid w:val="00430F72"/>
    <w:rsid w:val="004312A8"/>
    <w:rsid w:val="00433075"/>
    <w:rsid w:val="00436E5C"/>
    <w:rsid w:val="004432DB"/>
    <w:rsid w:val="00447CB4"/>
    <w:rsid w:val="00455028"/>
    <w:rsid w:val="00463220"/>
    <w:rsid w:val="00464C43"/>
    <w:rsid w:val="004751ED"/>
    <w:rsid w:val="00475C59"/>
    <w:rsid w:val="00480718"/>
    <w:rsid w:val="00480A6F"/>
    <w:rsid w:val="004907DB"/>
    <w:rsid w:val="00493368"/>
    <w:rsid w:val="004A324B"/>
    <w:rsid w:val="004A7FF8"/>
    <w:rsid w:val="004B58DA"/>
    <w:rsid w:val="004B6D38"/>
    <w:rsid w:val="004D6D73"/>
    <w:rsid w:val="004E0D55"/>
    <w:rsid w:val="004E21D7"/>
    <w:rsid w:val="004F120B"/>
    <w:rsid w:val="004F5FB0"/>
    <w:rsid w:val="00511AC5"/>
    <w:rsid w:val="00513187"/>
    <w:rsid w:val="00525933"/>
    <w:rsid w:val="00526D83"/>
    <w:rsid w:val="00531861"/>
    <w:rsid w:val="0054237B"/>
    <w:rsid w:val="00551279"/>
    <w:rsid w:val="00563D96"/>
    <w:rsid w:val="005644E4"/>
    <w:rsid w:val="00575651"/>
    <w:rsid w:val="00584224"/>
    <w:rsid w:val="00591C1F"/>
    <w:rsid w:val="00592B1F"/>
    <w:rsid w:val="00594AEB"/>
    <w:rsid w:val="00597726"/>
    <w:rsid w:val="005C06A6"/>
    <w:rsid w:val="005D04E3"/>
    <w:rsid w:val="005D1B1E"/>
    <w:rsid w:val="005E43B1"/>
    <w:rsid w:val="005E4E08"/>
    <w:rsid w:val="00601154"/>
    <w:rsid w:val="0060597F"/>
    <w:rsid w:val="006102CE"/>
    <w:rsid w:val="006302D1"/>
    <w:rsid w:val="00641C2E"/>
    <w:rsid w:val="00642F65"/>
    <w:rsid w:val="00646764"/>
    <w:rsid w:val="0065379A"/>
    <w:rsid w:val="00662B70"/>
    <w:rsid w:val="00672940"/>
    <w:rsid w:val="00697F9D"/>
    <w:rsid w:val="006B20B6"/>
    <w:rsid w:val="006B433D"/>
    <w:rsid w:val="006B54B8"/>
    <w:rsid w:val="006C4B14"/>
    <w:rsid w:val="006D0843"/>
    <w:rsid w:val="006E7DFE"/>
    <w:rsid w:val="006F0B49"/>
    <w:rsid w:val="006F6F76"/>
    <w:rsid w:val="0070232B"/>
    <w:rsid w:val="00706442"/>
    <w:rsid w:val="00713BFD"/>
    <w:rsid w:val="0072082B"/>
    <w:rsid w:val="0072753B"/>
    <w:rsid w:val="0074667D"/>
    <w:rsid w:val="0075136C"/>
    <w:rsid w:val="00753C7F"/>
    <w:rsid w:val="00753D8D"/>
    <w:rsid w:val="007561C9"/>
    <w:rsid w:val="007563BA"/>
    <w:rsid w:val="007671A3"/>
    <w:rsid w:val="00773E5A"/>
    <w:rsid w:val="007807DB"/>
    <w:rsid w:val="00785816"/>
    <w:rsid w:val="00786BC4"/>
    <w:rsid w:val="007955A1"/>
    <w:rsid w:val="007B0326"/>
    <w:rsid w:val="007B2A53"/>
    <w:rsid w:val="007B3B2E"/>
    <w:rsid w:val="007D0D4D"/>
    <w:rsid w:val="007D6616"/>
    <w:rsid w:val="007E0F48"/>
    <w:rsid w:val="007E3684"/>
    <w:rsid w:val="007E3A85"/>
    <w:rsid w:val="00801125"/>
    <w:rsid w:val="008071A5"/>
    <w:rsid w:val="00810458"/>
    <w:rsid w:val="00813E76"/>
    <w:rsid w:val="00814BC2"/>
    <w:rsid w:val="00816006"/>
    <w:rsid w:val="00823BCF"/>
    <w:rsid w:val="00831C69"/>
    <w:rsid w:val="00832C62"/>
    <w:rsid w:val="008338B0"/>
    <w:rsid w:val="00834511"/>
    <w:rsid w:val="00844E7C"/>
    <w:rsid w:val="00860FCB"/>
    <w:rsid w:val="00867482"/>
    <w:rsid w:val="00875CB2"/>
    <w:rsid w:val="0088056A"/>
    <w:rsid w:val="00881557"/>
    <w:rsid w:val="00892731"/>
    <w:rsid w:val="00892C03"/>
    <w:rsid w:val="008930FB"/>
    <w:rsid w:val="008946A3"/>
    <w:rsid w:val="00895BD6"/>
    <w:rsid w:val="008A10B4"/>
    <w:rsid w:val="008A348F"/>
    <w:rsid w:val="008A3C17"/>
    <w:rsid w:val="008A6DDE"/>
    <w:rsid w:val="008B64F4"/>
    <w:rsid w:val="008C40BE"/>
    <w:rsid w:val="008C4AC4"/>
    <w:rsid w:val="008C4D4D"/>
    <w:rsid w:val="008C5B9D"/>
    <w:rsid w:val="008D336D"/>
    <w:rsid w:val="008D3F45"/>
    <w:rsid w:val="008D72E5"/>
    <w:rsid w:val="008E13DE"/>
    <w:rsid w:val="008E3E9D"/>
    <w:rsid w:val="008F7074"/>
    <w:rsid w:val="0090316F"/>
    <w:rsid w:val="00936AA0"/>
    <w:rsid w:val="00945126"/>
    <w:rsid w:val="00960655"/>
    <w:rsid w:val="00963499"/>
    <w:rsid w:val="00972791"/>
    <w:rsid w:val="00975841"/>
    <w:rsid w:val="0098566D"/>
    <w:rsid w:val="00990691"/>
    <w:rsid w:val="0099667D"/>
    <w:rsid w:val="00997BB5"/>
    <w:rsid w:val="009B621E"/>
    <w:rsid w:val="009B6258"/>
    <w:rsid w:val="009B6ECF"/>
    <w:rsid w:val="009C6F86"/>
    <w:rsid w:val="009E2864"/>
    <w:rsid w:val="009F52F0"/>
    <w:rsid w:val="00A019F8"/>
    <w:rsid w:val="00A03C0F"/>
    <w:rsid w:val="00A10E7C"/>
    <w:rsid w:val="00A43623"/>
    <w:rsid w:val="00A46F32"/>
    <w:rsid w:val="00A532BF"/>
    <w:rsid w:val="00A54699"/>
    <w:rsid w:val="00A6008D"/>
    <w:rsid w:val="00A60EBD"/>
    <w:rsid w:val="00A64246"/>
    <w:rsid w:val="00A744FD"/>
    <w:rsid w:val="00A82349"/>
    <w:rsid w:val="00A8561F"/>
    <w:rsid w:val="00A955B1"/>
    <w:rsid w:val="00AA1681"/>
    <w:rsid w:val="00AA3879"/>
    <w:rsid w:val="00AC672A"/>
    <w:rsid w:val="00AC7E83"/>
    <w:rsid w:val="00AD0ADD"/>
    <w:rsid w:val="00AD41D2"/>
    <w:rsid w:val="00AD4E68"/>
    <w:rsid w:val="00AE29E6"/>
    <w:rsid w:val="00AE448B"/>
    <w:rsid w:val="00AF1D82"/>
    <w:rsid w:val="00AF1DD1"/>
    <w:rsid w:val="00AF205A"/>
    <w:rsid w:val="00B10C52"/>
    <w:rsid w:val="00B17773"/>
    <w:rsid w:val="00B273F3"/>
    <w:rsid w:val="00B4107B"/>
    <w:rsid w:val="00B579CF"/>
    <w:rsid w:val="00B60FD8"/>
    <w:rsid w:val="00B67158"/>
    <w:rsid w:val="00B71F80"/>
    <w:rsid w:val="00B756C5"/>
    <w:rsid w:val="00B848AA"/>
    <w:rsid w:val="00B951E1"/>
    <w:rsid w:val="00B9581B"/>
    <w:rsid w:val="00BA083E"/>
    <w:rsid w:val="00BA5412"/>
    <w:rsid w:val="00BB083E"/>
    <w:rsid w:val="00BB1A0D"/>
    <w:rsid w:val="00BC1460"/>
    <w:rsid w:val="00BC167D"/>
    <w:rsid w:val="00BD6419"/>
    <w:rsid w:val="00BD6B92"/>
    <w:rsid w:val="00BD6C53"/>
    <w:rsid w:val="00BE6E46"/>
    <w:rsid w:val="00C04C9B"/>
    <w:rsid w:val="00C12172"/>
    <w:rsid w:val="00C15AAD"/>
    <w:rsid w:val="00C25EC6"/>
    <w:rsid w:val="00C321B9"/>
    <w:rsid w:val="00C3429C"/>
    <w:rsid w:val="00C554E8"/>
    <w:rsid w:val="00C70F4C"/>
    <w:rsid w:val="00C779B3"/>
    <w:rsid w:val="00C77B4D"/>
    <w:rsid w:val="00C829DA"/>
    <w:rsid w:val="00C834BB"/>
    <w:rsid w:val="00C910DD"/>
    <w:rsid w:val="00C945A4"/>
    <w:rsid w:val="00CA563D"/>
    <w:rsid w:val="00CB32DE"/>
    <w:rsid w:val="00CC0469"/>
    <w:rsid w:val="00CD21E7"/>
    <w:rsid w:val="00CE5F6B"/>
    <w:rsid w:val="00CE6F6A"/>
    <w:rsid w:val="00D00FBF"/>
    <w:rsid w:val="00D03CBF"/>
    <w:rsid w:val="00D05948"/>
    <w:rsid w:val="00D137B5"/>
    <w:rsid w:val="00D13DC1"/>
    <w:rsid w:val="00D172B2"/>
    <w:rsid w:val="00D434C9"/>
    <w:rsid w:val="00D46050"/>
    <w:rsid w:val="00D512D1"/>
    <w:rsid w:val="00D57D13"/>
    <w:rsid w:val="00D60FDB"/>
    <w:rsid w:val="00D65DB6"/>
    <w:rsid w:val="00D80F0F"/>
    <w:rsid w:val="00D97874"/>
    <w:rsid w:val="00D97BF4"/>
    <w:rsid w:val="00DA131C"/>
    <w:rsid w:val="00DA74F4"/>
    <w:rsid w:val="00DD4BD8"/>
    <w:rsid w:val="00DD74AC"/>
    <w:rsid w:val="00DF6D7A"/>
    <w:rsid w:val="00DF755B"/>
    <w:rsid w:val="00E01518"/>
    <w:rsid w:val="00E13F7D"/>
    <w:rsid w:val="00E26C29"/>
    <w:rsid w:val="00E32EDE"/>
    <w:rsid w:val="00E34F11"/>
    <w:rsid w:val="00E36FC1"/>
    <w:rsid w:val="00E518A2"/>
    <w:rsid w:val="00E52884"/>
    <w:rsid w:val="00E57282"/>
    <w:rsid w:val="00E72E5D"/>
    <w:rsid w:val="00E854B0"/>
    <w:rsid w:val="00ED17A9"/>
    <w:rsid w:val="00EE72A3"/>
    <w:rsid w:val="00F03976"/>
    <w:rsid w:val="00F11672"/>
    <w:rsid w:val="00F23290"/>
    <w:rsid w:val="00F2501D"/>
    <w:rsid w:val="00F25563"/>
    <w:rsid w:val="00F2645D"/>
    <w:rsid w:val="00F27510"/>
    <w:rsid w:val="00F31198"/>
    <w:rsid w:val="00F34639"/>
    <w:rsid w:val="00F442B0"/>
    <w:rsid w:val="00F4454C"/>
    <w:rsid w:val="00F44BD7"/>
    <w:rsid w:val="00F556DA"/>
    <w:rsid w:val="00F60D5A"/>
    <w:rsid w:val="00F61318"/>
    <w:rsid w:val="00F64B76"/>
    <w:rsid w:val="00F70865"/>
    <w:rsid w:val="00F739F5"/>
    <w:rsid w:val="00FA6114"/>
    <w:rsid w:val="00FC3605"/>
    <w:rsid w:val="00FD0B02"/>
    <w:rsid w:val="00FE0BEA"/>
    <w:rsid w:val="00FE28EA"/>
    <w:rsid w:val="00FE74B5"/>
    <w:rsid w:val="00FE7951"/>
    <w:rsid w:val="00FF2732"/>
    <w:rsid w:val="00FF77F5"/>
    <w:rsid w:val="0FA3147F"/>
    <w:rsid w:val="16743BA6"/>
    <w:rsid w:val="2C4F6451"/>
    <w:rsid w:val="3AF546A0"/>
    <w:rsid w:val="474825A1"/>
    <w:rsid w:val="4BA05428"/>
    <w:rsid w:val="7E9B03C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sdException w:uiPriority="99" w:name="List 2"/>
    <w:lsdException w:uiPriority="99" w:name="List 3"/>
    <w:lsdException w:unhideWhenUsed="0" w:uiPriority="0" w:semiHidden="0" w:name="List 4"/>
    <w:lsdException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6"/>
    <w:unhideWhenUsed/>
    <w:qFormat/>
    <w:uiPriority w:val="99"/>
    <w:pPr>
      <w:jc w:val="left"/>
    </w:pPr>
  </w:style>
  <w:style w:type="paragraph" w:styleId="3">
    <w:name w:val="Date"/>
    <w:basedOn w:val="1"/>
    <w:next w:val="1"/>
    <w:link w:val="12"/>
    <w:qFormat/>
    <w:uiPriority w:val="99"/>
    <w:pPr>
      <w:ind w:left="100" w:leftChars="2500"/>
    </w:pPr>
  </w:style>
  <w:style w:type="paragraph" w:styleId="4">
    <w:name w:val="Balloon Text"/>
    <w:basedOn w:val="1"/>
    <w:link w:val="13"/>
    <w:semiHidden/>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basedOn w:val="10"/>
    <w:qFormat/>
    <w:uiPriority w:val="99"/>
    <w:rPr>
      <w:rFonts w:cs="Times New Roman"/>
      <w:b/>
      <w:bCs/>
    </w:rPr>
  </w:style>
  <w:style w:type="character" w:customStyle="1" w:styleId="12">
    <w:name w:val="日期 字符"/>
    <w:basedOn w:val="10"/>
    <w:link w:val="3"/>
    <w:semiHidden/>
    <w:qFormat/>
    <w:uiPriority w:val="99"/>
    <w:rPr>
      <w:szCs w:val="24"/>
    </w:rPr>
  </w:style>
  <w:style w:type="character" w:customStyle="1" w:styleId="13">
    <w:name w:val="批注框文本 字符"/>
    <w:basedOn w:val="10"/>
    <w:link w:val="4"/>
    <w:semiHidden/>
    <w:qFormat/>
    <w:uiPriority w:val="99"/>
    <w:rPr>
      <w:sz w:val="0"/>
      <w:szCs w:val="0"/>
    </w:rPr>
  </w:style>
  <w:style w:type="character" w:customStyle="1" w:styleId="14">
    <w:name w:val="页眉 字符"/>
    <w:basedOn w:val="10"/>
    <w:link w:val="6"/>
    <w:semiHidden/>
    <w:qFormat/>
    <w:uiPriority w:val="99"/>
    <w:rPr>
      <w:sz w:val="18"/>
      <w:szCs w:val="18"/>
    </w:rPr>
  </w:style>
  <w:style w:type="character" w:customStyle="1" w:styleId="15">
    <w:name w:val="页脚 字符"/>
    <w:basedOn w:val="10"/>
    <w:link w:val="5"/>
    <w:semiHidden/>
    <w:qFormat/>
    <w:uiPriority w:val="99"/>
    <w:rPr>
      <w:sz w:val="18"/>
      <w:szCs w:val="18"/>
    </w:rPr>
  </w:style>
  <w:style w:type="character" w:customStyle="1" w:styleId="16">
    <w:name w:val="批注文字 字符"/>
    <w:basedOn w:val="10"/>
    <w:link w:val="2"/>
    <w:uiPriority w:val="99"/>
    <w:rPr>
      <w:szCs w:val="24"/>
    </w:rPr>
  </w:style>
  <w:style w:type="paragraph" w:styleId="17">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442</Words>
  <Characters>2526</Characters>
  <Lines>21</Lines>
  <Paragraphs>5</Paragraphs>
  <TotalTime>193</TotalTime>
  <ScaleCrop>false</ScaleCrop>
  <LinksUpToDate>false</LinksUpToDate>
  <CharactersWithSpaces>2963</CharactersWithSpaces>
  <Application>WPS Office_11.1.0.8389_F1E327BC-269C-435d-A152-05C5408002CA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2018-12-12T03:59:00Z</dcterms:created>
  <dc:creator>ASUS</dc:creator>
  <cp:lastModifiedBy>辛鑫</cp:lastModifiedBy>
  <cp:lastPrinted>2018-09-11T06:41:00Z</cp:lastPrinted>
  <dcterms:modified xsi:type="dcterms:W3CDTF">2019-02-28T02:34:49Z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2052-11.1.0.8389</vt:lpwstr>
  </property>
</Properties>
</file>